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4AD44" w14:textId="1FC5DD74" w:rsidR="00B5379D" w:rsidRDefault="00DD6CE9" w:rsidP="00DD6CE9">
      <w:pPr>
        <w:jc w:val="right"/>
      </w:pPr>
      <w:r>
        <w:tab/>
      </w:r>
      <w:r>
        <w:tab/>
      </w:r>
      <w:r>
        <w:tab/>
      </w:r>
      <w:r>
        <w:tab/>
      </w:r>
      <w:r>
        <w:tab/>
      </w:r>
      <w:r>
        <w:tab/>
      </w:r>
      <w:r>
        <w:tab/>
      </w:r>
      <w:r>
        <w:tab/>
      </w:r>
      <w:r>
        <w:tab/>
      </w:r>
      <w:r>
        <w:rPr>
          <w:noProof/>
          <w:lang w:eastAsia="en-GB"/>
        </w:rPr>
        <w:drawing>
          <wp:inline distT="0" distB="0" distL="0" distR="0" wp14:anchorId="04BC9C95" wp14:editId="075A4892">
            <wp:extent cx="2503433"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7922" cy="657835"/>
                    </a:xfrm>
                    <a:prstGeom prst="rect">
                      <a:avLst/>
                    </a:prstGeom>
                    <a:noFill/>
                    <a:ln>
                      <a:noFill/>
                    </a:ln>
                  </pic:spPr>
                </pic:pic>
              </a:graphicData>
            </a:graphic>
          </wp:inline>
        </w:drawing>
      </w:r>
    </w:p>
    <w:p w14:paraId="0087D024" w14:textId="77777777" w:rsidR="00B5379D" w:rsidRDefault="00B5379D"/>
    <w:p w14:paraId="75489EA9" w14:textId="77777777" w:rsidR="00B5379D" w:rsidRDefault="00B5379D"/>
    <w:p w14:paraId="47B2C7C4" w14:textId="77777777" w:rsidR="00B5379D" w:rsidRDefault="00B5379D"/>
    <w:p w14:paraId="4E7FD24B" w14:textId="77777777" w:rsidR="00DD6CE9" w:rsidRDefault="00DD6CE9" w:rsidP="00DD6CE9">
      <w:pPr>
        <w:jc w:val="center"/>
        <w:rPr>
          <w:rFonts w:ascii="Arial" w:hAnsi="Arial" w:cs="Arial"/>
          <w:b/>
          <w:bCs/>
          <w:sz w:val="40"/>
          <w:szCs w:val="40"/>
        </w:rPr>
      </w:pPr>
    </w:p>
    <w:p w14:paraId="36B142DE" w14:textId="77777777" w:rsidR="00DD6CE9" w:rsidRDefault="00DD6CE9" w:rsidP="00DD6CE9">
      <w:pPr>
        <w:jc w:val="center"/>
        <w:rPr>
          <w:rFonts w:ascii="Arial" w:hAnsi="Arial" w:cs="Arial"/>
          <w:b/>
          <w:bCs/>
          <w:sz w:val="40"/>
          <w:szCs w:val="40"/>
        </w:rPr>
      </w:pPr>
    </w:p>
    <w:p w14:paraId="30A692F4" w14:textId="07C5B6EE" w:rsidR="00B5379D" w:rsidRPr="00DD6CE9" w:rsidRDefault="00B5379D" w:rsidP="00DD6CE9">
      <w:pPr>
        <w:jc w:val="center"/>
        <w:rPr>
          <w:rFonts w:ascii="Arial" w:hAnsi="Arial" w:cs="Arial"/>
          <w:b/>
          <w:bCs/>
          <w:sz w:val="40"/>
          <w:szCs w:val="40"/>
        </w:rPr>
      </w:pPr>
      <w:r w:rsidRPr="00DD6CE9">
        <w:rPr>
          <w:rFonts w:ascii="Arial" w:hAnsi="Arial" w:cs="Arial"/>
          <w:b/>
          <w:bCs/>
          <w:sz w:val="40"/>
          <w:szCs w:val="40"/>
        </w:rPr>
        <w:t>HOME</w:t>
      </w:r>
      <w:r w:rsidR="00381F12" w:rsidRPr="00DD6CE9">
        <w:rPr>
          <w:rFonts w:ascii="Arial" w:hAnsi="Arial" w:cs="Arial"/>
          <w:b/>
          <w:bCs/>
          <w:sz w:val="40"/>
          <w:szCs w:val="40"/>
        </w:rPr>
        <w:t xml:space="preserve"> </w:t>
      </w:r>
      <w:r w:rsidRPr="00DD6CE9">
        <w:rPr>
          <w:rFonts w:ascii="Arial" w:hAnsi="Arial" w:cs="Arial"/>
          <w:b/>
          <w:bCs/>
          <w:sz w:val="40"/>
          <w:szCs w:val="40"/>
        </w:rPr>
        <w:t>LOSS AND DISTURBANCE PAYMENT POLICY</w:t>
      </w:r>
    </w:p>
    <w:p w14:paraId="06D9591D" w14:textId="77777777" w:rsidR="00C1663F" w:rsidRPr="00DD6CE9" w:rsidRDefault="00C1663F" w:rsidP="006E601B">
      <w:pPr>
        <w:rPr>
          <w:rFonts w:ascii="Arial" w:hAnsi="Arial" w:cs="Arial"/>
          <w:b/>
          <w:bCs/>
          <w:sz w:val="40"/>
          <w:szCs w:val="40"/>
        </w:rPr>
      </w:pPr>
    </w:p>
    <w:p w14:paraId="5B3C626F" w14:textId="6FCF3D99" w:rsidR="00B5379D" w:rsidRPr="00DD6CE9" w:rsidRDefault="00C34BD0" w:rsidP="00DD6CE9">
      <w:pPr>
        <w:jc w:val="center"/>
        <w:rPr>
          <w:rFonts w:ascii="Arial" w:hAnsi="Arial" w:cs="Arial"/>
          <w:b/>
          <w:bCs/>
          <w:sz w:val="40"/>
          <w:szCs w:val="40"/>
        </w:rPr>
      </w:pPr>
      <w:r>
        <w:rPr>
          <w:rFonts w:ascii="Arial" w:hAnsi="Arial" w:cs="Arial"/>
          <w:b/>
          <w:bCs/>
          <w:sz w:val="40"/>
          <w:szCs w:val="40"/>
        </w:rPr>
        <w:t>2024</w:t>
      </w:r>
    </w:p>
    <w:p w14:paraId="36991F4E" w14:textId="77777777" w:rsidR="00C1663F" w:rsidRDefault="00C1663F"/>
    <w:p w14:paraId="2B52CB27" w14:textId="77777777" w:rsidR="00C1663F" w:rsidRDefault="00C1663F"/>
    <w:tbl>
      <w:tblPr>
        <w:tblW w:w="8212" w:type="dxa"/>
        <w:jc w:val="center"/>
        <w:tblCellMar>
          <w:left w:w="0" w:type="dxa"/>
          <w:right w:w="0" w:type="dxa"/>
        </w:tblCellMar>
        <w:tblLook w:val="04A0" w:firstRow="1" w:lastRow="0" w:firstColumn="1" w:lastColumn="0" w:noHBand="0" w:noVBand="1"/>
      </w:tblPr>
      <w:tblGrid>
        <w:gridCol w:w="3945"/>
        <w:gridCol w:w="4267"/>
      </w:tblGrid>
      <w:tr w:rsidR="006E601B" w:rsidRPr="006E601B" w14:paraId="1DC81F90" w14:textId="77777777" w:rsidTr="006E601B">
        <w:trPr>
          <w:trHeight w:val="113"/>
          <w:jc w:val="center"/>
        </w:trPr>
        <w:tc>
          <w:tcPr>
            <w:tcW w:w="3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BBB72"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b/>
                <w:bCs/>
                <w:sz w:val="28"/>
                <w:szCs w:val="28"/>
                <w:lang w:eastAsia="en-GB"/>
              </w:rPr>
              <w:t xml:space="preserve">Author: </w:t>
            </w:r>
          </w:p>
        </w:tc>
        <w:tc>
          <w:tcPr>
            <w:tcW w:w="4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2EAD8" w14:textId="3E87EF7B" w:rsidR="006E601B" w:rsidRPr="006E601B" w:rsidRDefault="006E601B" w:rsidP="006E601B">
            <w:pPr>
              <w:spacing w:after="364" w:line="240" w:lineRule="auto"/>
              <w:ind w:right="3"/>
              <w:jc w:val="both"/>
              <w:rPr>
                <w:rFonts w:ascii="Arial" w:eastAsia="Calibri" w:hAnsi="Arial" w:cs="Arial"/>
                <w:sz w:val="28"/>
                <w:szCs w:val="28"/>
                <w:lang w:eastAsia="en-GB"/>
              </w:rPr>
            </w:pPr>
            <w:r>
              <w:rPr>
                <w:rFonts w:ascii="Arial" w:eastAsia="Calibri" w:hAnsi="Arial" w:cs="Arial"/>
                <w:sz w:val="28"/>
                <w:szCs w:val="28"/>
                <w:lang w:eastAsia="en-GB"/>
              </w:rPr>
              <w:t>Operations Manager - Housing</w:t>
            </w:r>
          </w:p>
        </w:tc>
      </w:tr>
      <w:tr w:rsidR="006E601B" w:rsidRPr="006E601B" w14:paraId="02553EC2" w14:textId="77777777" w:rsidTr="006E601B">
        <w:trPr>
          <w:trHeight w:val="113"/>
          <w:jc w:val="center"/>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F888B"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b/>
                <w:bCs/>
                <w:sz w:val="28"/>
                <w:szCs w:val="28"/>
                <w:lang w:eastAsia="en-GB"/>
              </w:rPr>
              <w:t xml:space="preserve">Owner: </w:t>
            </w:r>
          </w:p>
        </w:tc>
        <w:tc>
          <w:tcPr>
            <w:tcW w:w="4267" w:type="dxa"/>
            <w:tcBorders>
              <w:top w:val="nil"/>
              <w:left w:val="nil"/>
              <w:bottom w:val="single" w:sz="8" w:space="0" w:color="auto"/>
              <w:right w:val="single" w:sz="8" w:space="0" w:color="auto"/>
            </w:tcBorders>
            <w:tcMar>
              <w:top w:w="0" w:type="dxa"/>
              <w:left w:w="108" w:type="dxa"/>
              <w:bottom w:w="0" w:type="dxa"/>
              <w:right w:w="108" w:type="dxa"/>
            </w:tcMar>
            <w:hideMark/>
          </w:tcPr>
          <w:p w14:paraId="4ED5FCEF"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sz w:val="28"/>
                <w:szCs w:val="28"/>
                <w:lang w:eastAsia="en-GB"/>
              </w:rPr>
              <w:t xml:space="preserve">Housing </w:t>
            </w:r>
          </w:p>
        </w:tc>
      </w:tr>
      <w:tr w:rsidR="006E601B" w:rsidRPr="006E601B" w14:paraId="5EDC09D2" w14:textId="77777777" w:rsidTr="006E601B">
        <w:trPr>
          <w:trHeight w:val="113"/>
          <w:jc w:val="center"/>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5B77"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b/>
                <w:bCs/>
                <w:sz w:val="28"/>
                <w:szCs w:val="28"/>
                <w:lang w:eastAsia="en-GB"/>
              </w:rPr>
              <w:t xml:space="preserve">Version: </w:t>
            </w:r>
          </w:p>
        </w:tc>
        <w:tc>
          <w:tcPr>
            <w:tcW w:w="4267" w:type="dxa"/>
            <w:tcBorders>
              <w:top w:val="nil"/>
              <w:left w:val="nil"/>
              <w:bottom w:val="single" w:sz="8" w:space="0" w:color="auto"/>
              <w:right w:val="single" w:sz="8" w:space="0" w:color="auto"/>
            </w:tcBorders>
            <w:tcMar>
              <w:top w:w="0" w:type="dxa"/>
              <w:left w:w="108" w:type="dxa"/>
              <w:bottom w:w="0" w:type="dxa"/>
              <w:right w:w="108" w:type="dxa"/>
            </w:tcMar>
            <w:hideMark/>
          </w:tcPr>
          <w:p w14:paraId="34A2A68C"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sz w:val="28"/>
                <w:szCs w:val="28"/>
                <w:lang w:eastAsia="en-GB"/>
              </w:rPr>
              <w:t>1</w:t>
            </w:r>
          </w:p>
        </w:tc>
      </w:tr>
      <w:tr w:rsidR="006E601B" w:rsidRPr="006E601B" w14:paraId="6226BDC7" w14:textId="77777777" w:rsidTr="006E601B">
        <w:trPr>
          <w:trHeight w:val="113"/>
          <w:jc w:val="center"/>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A9A3"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b/>
                <w:bCs/>
                <w:sz w:val="28"/>
                <w:szCs w:val="28"/>
                <w:lang w:eastAsia="en-GB"/>
              </w:rPr>
              <w:t xml:space="preserve">Date: </w:t>
            </w:r>
          </w:p>
        </w:tc>
        <w:tc>
          <w:tcPr>
            <w:tcW w:w="4267" w:type="dxa"/>
            <w:tcBorders>
              <w:top w:val="nil"/>
              <w:left w:val="nil"/>
              <w:bottom w:val="single" w:sz="8" w:space="0" w:color="auto"/>
              <w:right w:val="single" w:sz="8" w:space="0" w:color="auto"/>
            </w:tcBorders>
            <w:tcMar>
              <w:top w:w="0" w:type="dxa"/>
              <w:left w:w="108" w:type="dxa"/>
              <w:bottom w:w="0" w:type="dxa"/>
              <w:right w:w="108" w:type="dxa"/>
            </w:tcMar>
            <w:hideMark/>
          </w:tcPr>
          <w:p w14:paraId="35859EB8"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sz w:val="28"/>
                <w:szCs w:val="28"/>
                <w:lang w:eastAsia="en-GB"/>
              </w:rPr>
              <w:t xml:space="preserve">February 2024 </w:t>
            </w:r>
          </w:p>
        </w:tc>
      </w:tr>
      <w:tr w:rsidR="006E601B" w:rsidRPr="006E601B" w14:paraId="5799A873" w14:textId="77777777" w:rsidTr="006E601B">
        <w:trPr>
          <w:trHeight w:val="113"/>
          <w:jc w:val="center"/>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B5955"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b/>
                <w:bCs/>
                <w:sz w:val="28"/>
                <w:szCs w:val="28"/>
                <w:lang w:eastAsia="en-GB"/>
              </w:rPr>
              <w:t xml:space="preserve">Review Date: </w:t>
            </w:r>
          </w:p>
        </w:tc>
        <w:tc>
          <w:tcPr>
            <w:tcW w:w="4267" w:type="dxa"/>
            <w:tcBorders>
              <w:top w:val="nil"/>
              <w:left w:val="nil"/>
              <w:bottom w:val="single" w:sz="8" w:space="0" w:color="auto"/>
              <w:right w:val="single" w:sz="8" w:space="0" w:color="auto"/>
            </w:tcBorders>
            <w:tcMar>
              <w:top w:w="0" w:type="dxa"/>
              <w:left w:w="108" w:type="dxa"/>
              <w:bottom w:w="0" w:type="dxa"/>
              <w:right w:w="108" w:type="dxa"/>
            </w:tcMar>
            <w:hideMark/>
          </w:tcPr>
          <w:p w14:paraId="7CAEC3C7" w14:textId="77777777" w:rsidR="006E601B" w:rsidRPr="006E601B" w:rsidRDefault="006E601B" w:rsidP="006E601B">
            <w:pPr>
              <w:spacing w:after="364" w:line="240" w:lineRule="auto"/>
              <w:ind w:right="3"/>
              <w:jc w:val="both"/>
              <w:rPr>
                <w:rFonts w:ascii="Arial" w:eastAsia="Calibri" w:hAnsi="Arial" w:cs="Arial"/>
                <w:sz w:val="28"/>
                <w:szCs w:val="28"/>
                <w:lang w:eastAsia="en-GB"/>
              </w:rPr>
            </w:pPr>
            <w:r w:rsidRPr="006E601B">
              <w:rPr>
                <w:rFonts w:ascii="Arial" w:eastAsia="Calibri" w:hAnsi="Arial" w:cs="Arial"/>
                <w:sz w:val="28"/>
                <w:szCs w:val="28"/>
                <w:lang w:eastAsia="en-GB"/>
              </w:rPr>
              <w:t>February 2029</w:t>
            </w:r>
          </w:p>
        </w:tc>
      </w:tr>
    </w:tbl>
    <w:p w14:paraId="22486C83" w14:textId="77777777" w:rsidR="00C1663F" w:rsidRDefault="00C1663F"/>
    <w:p w14:paraId="4F77B328" w14:textId="77777777" w:rsidR="00C1663F" w:rsidRDefault="00C1663F"/>
    <w:p w14:paraId="3E20F001" w14:textId="77777777" w:rsidR="00C1663F" w:rsidRDefault="00C1663F"/>
    <w:p w14:paraId="10A4347A" w14:textId="77777777" w:rsidR="00C1663F" w:rsidRDefault="00C1663F"/>
    <w:p w14:paraId="067DE532" w14:textId="77777777" w:rsidR="00C1663F" w:rsidRDefault="00C1663F"/>
    <w:p w14:paraId="4A8570B0" w14:textId="77777777" w:rsidR="00C1663F" w:rsidRDefault="00C1663F"/>
    <w:tbl>
      <w:tblPr>
        <w:tblW w:w="0" w:type="auto"/>
        <w:tblInd w:w="-108" w:type="dxa"/>
        <w:tblBorders>
          <w:top w:val="nil"/>
          <w:left w:val="nil"/>
          <w:bottom w:val="nil"/>
          <w:right w:val="nil"/>
        </w:tblBorders>
        <w:tblLayout w:type="fixed"/>
        <w:tblLook w:val="0000" w:firstRow="0" w:lastRow="0" w:firstColumn="0" w:lastColumn="0" w:noHBand="0" w:noVBand="0"/>
      </w:tblPr>
      <w:tblGrid>
        <w:gridCol w:w="8258"/>
      </w:tblGrid>
      <w:tr w:rsidR="00C1663F" w14:paraId="71D0360E" w14:textId="77777777">
        <w:trPr>
          <w:trHeight w:val="388"/>
        </w:trPr>
        <w:tc>
          <w:tcPr>
            <w:tcW w:w="8258" w:type="dxa"/>
          </w:tcPr>
          <w:p w14:paraId="7C40F47D" w14:textId="47078920" w:rsidR="00C1663F" w:rsidRPr="0042078E" w:rsidRDefault="00C1663F" w:rsidP="00C1663F">
            <w:pPr>
              <w:pStyle w:val="Default"/>
              <w:rPr>
                <w:b/>
                <w:bCs/>
              </w:rPr>
            </w:pPr>
            <w:r w:rsidRPr="00DD6CE9">
              <w:rPr>
                <w:b/>
                <w:bCs/>
              </w:rPr>
              <w:lastRenderedPageBreak/>
              <w:t>1</w:t>
            </w:r>
            <w:r w:rsidRPr="0042078E">
              <w:rPr>
                <w:b/>
                <w:bCs/>
              </w:rPr>
              <w:t>.</w:t>
            </w:r>
            <w:r w:rsidR="00CA3BCE">
              <w:rPr>
                <w:b/>
                <w:bCs/>
              </w:rPr>
              <w:t xml:space="preserve"> </w:t>
            </w:r>
            <w:r w:rsidRPr="0042078E">
              <w:rPr>
                <w:b/>
                <w:bCs/>
              </w:rPr>
              <w:t>Pol</w:t>
            </w:r>
            <w:r w:rsidR="0042078E">
              <w:rPr>
                <w:b/>
                <w:bCs/>
              </w:rPr>
              <w:t>i</w:t>
            </w:r>
            <w:r w:rsidRPr="0042078E">
              <w:rPr>
                <w:b/>
                <w:bCs/>
              </w:rPr>
              <w:t>cy Statement</w:t>
            </w:r>
          </w:p>
          <w:p w14:paraId="62F05678" w14:textId="3BFB6F76" w:rsidR="00C1663F" w:rsidRPr="0042078E" w:rsidRDefault="00C1663F">
            <w:pPr>
              <w:pStyle w:val="Default"/>
            </w:pPr>
          </w:p>
          <w:p w14:paraId="37EFDCE8" w14:textId="481ED53D" w:rsidR="002F745B" w:rsidRPr="0042078E" w:rsidRDefault="002F745B">
            <w:pPr>
              <w:pStyle w:val="Default"/>
            </w:pPr>
            <w:r w:rsidRPr="0042078E">
              <w:t xml:space="preserve">On occasions it is necessary for occupiers of properties to be </w:t>
            </w:r>
            <w:r w:rsidR="00DD6CE9" w:rsidRPr="0042078E">
              <w:t xml:space="preserve">   </w:t>
            </w:r>
            <w:r w:rsidRPr="0042078E">
              <w:t>permanently displaced from their home so that Sandwell Council can make improvements to the property or redevelop the land the property is on.</w:t>
            </w:r>
          </w:p>
          <w:p w14:paraId="45AF73C4" w14:textId="76F900DD" w:rsidR="00AB1427" w:rsidRPr="0042078E" w:rsidRDefault="00AB1427">
            <w:pPr>
              <w:pStyle w:val="Default"/>
            </w:pPr>
          </w:p>
          <w:p w14:paraId="2FCE4D3D" w14:textId="5BB1032A" w:rsidR="002F745B" w:rsidRPr="0042078E" w:rsidRDefault="00AB1427">
            <w:pPr>
              <w:pStyle w:val="Default"/>
            </w:pPr>
            <w:r w:rsidRPr="0042078E">
              <w:t xml:space="preserve">This document sets out Sandwell Council’s policy towards compensating tenants who have been permanently moved out of their home </w:t>
            </w:r>
            <w:r w:rsidR="00B74A5F" w:rsidRPr="0042078E">
              <w:t>because of</w:t>
            </w:r>
            <w:r w:rsidRPr="0042078E">
              <w:t xml:space="preserve"> improvement or redevelopment works carried out by Sandwell Council. </w:t>
            </w:r>
          </w:p>
          <w:p w14:paraId="1EC2514D" w14:textId="1FB5CA25" w:rsidR="00AB1427" w:rsidRPr="0042078E" w:rsidRDefault="00AB1427" w:rsidP="00C1663F">
            <w:pPr>
              <w:pStyle w:val="Default"/>
            </w:pPr>
          </w:p>
          <w:p w14:paraId="3546688B" w14:textId="77777777" w:rsidR="00C1663F" w:rsidRPr="0042078E" w:rsidRDefault="00AB1427" w:rsidP="00AB1427">
            <w:pPr>
              <w:pStyle w:val="Default"/>
            </w:pPr>
            <w:r w:rsidRPr="0042078E">
              <w:t>This policy applies to all general needs tenants, tenants of extra care schemes, owners within leasehold properties and affected owner-occupiers.</w:t>
            </w:r>
          </w:p>
          <w:p w14:paraId="59CCDA5B" w14:textId="77777777" w:rsidR="00AB1427" w:rsidRPr="0042078E" w:rsidRDefault="00AB1427" w:rsidP="00AB1427">
            <w:pPr>
              <w:pStyle w:val="Default"/>
            </w:pPr>
          </w:p>
          <w:p w14:paraId="15E0F2D3" w14:textId="5D34AD32" w:rsidR="00AB1427" w:rsidRDefault="00AB1427" w:rsidP="00AB1427">
            <w:pPr>
              <w:pStyle w:val="Default"/>
              <w:rPr>
                <w:sz w:val="23"/>
                <w:szCs w:val="23"/>
              </w:rPr>
            </w:pPr>
            <w:r w:rsidRPr="0042078E">
              <w:t xml:space="preserve">This policy will be implemented from </w:t>
            </w:r>
            <w:r w:rsidR="00C34BD0">
              <w:t>February 2024.</w:t>
            </w:r>
          </w:p>
        </w:tc>
      </w:tr>
      <w:tr w:rsidR="00DD6CE9" w14:paraId="54B05D5D" w14:textId="77777777">
        <w:trPr>
          <w:trHeight w:val="388"/>
        </w:trPr>
        <w:tc>
          <w:tcPr>
            <w:tcW w:w="8258" w:type="dxa"/>
          </w:tcPr>
          <w:p w14:paraId="36BEE6FE" w14:textId="77777777" w:rsidR="00DD6CE9" w:rsidRPr="00DD6CE9" w:rsidRDefault="00DD6CE9" w:rsidP="00C1663F">
            <w:pPr>
              <w:pStyle w:val="Default"/>
              <w:rPr>
                <w:b/>
                <w:bCs/>
              </w:rPr>
            </w:pPr>
          </w:p>
        </w:tc>
      </w:tr>
    </w:tbl>
    <w:p w14:paraId="651B4184" w14:textId="61AD532C" w:rsidR="002F745B" w:rsidRPr="0042078E" w:rsidRDefault="002F745B" w:rsidP="002F745B">
      <w:pPr>
        <w:rPr>
          <w:sz w:val="24"/>
          <w:szCs w:val="24"/>
        </w:rPr>
      </w:pPr>
    </w:p>
    <w:p w14:paraId="515CA03E" w14:textId="52030A01" w:rsidR="002F745B" w:rsidRPr="0042078E" w:rsidRDefault="002F745B" w:rsidP="002F745B">
      <w:pPr>
        <w:rPr>
          <w:rFonts w:ascii="Arial" w:hAnsi="Arial" w:cs="Arial"/>
          <w:b/>
          <w:bCs/>
          <w:sz w:val="24"/>
          <w:szCs w:val="24"/>
        </w:rPr>
      </w:pPr>
      <w:r w:rsidRPr="0042078E">
        <w:rPr>
          <w:rFonts w:ascii="Arial" w:hAnsi="Arial" w:cs="Arial"/>
          <w:b/>
          <w:bCs/>
          <w:sz w:val="24"/>
          <w:szCs w:val="24"/>
        </w:rPr>
        <w:t>2. Scope and definitions</w:t>
      </w:r>
    </w:p>
    <w:p w14:paraId="3F968789" w14:textId="5F92E047" w:rsidR="00AB1427" w:rsidRPr="0042078E" w:rsidRDefault="00DD6CE9" w:rsidP="00DD6CE9">
      <w:pPr>
        <w:pStyle w:val="Default"/>
        <w:ind w:left="720" w:hanging="720"/>
      </w:pPr>
      <w:r w:rsidRPr="0042078E">
        <w:t>2.1</w:t>
      </w:r>
      <w:r w:rsidRPr="0042078E">
        <w:tab/>
      </w:r>
      <w:r w:rsidR="00AB1427" w:rsidRPr="0042078E">
        <w:t>A home</w:t>
      </w:r>
      <w:r w:rsidR="00381F12" w:rsidRPr="0042078E">
        <w:t xml:space="preserve"> </w:t>
      </w:r>
      <w:r w:rsidR="00AB1427" w:rsidRPr="0042078E">
        <w:t>loss payment is intended to compensate people for the inconvenience of having to move permanently to another home at a time not of their choosing.</w:t>
      </w:r>
    </w:p>
    <w:p w14:paraId="0CDA66EB" w14:textId="77777777" w:rsidR="00AB1427" w:rsidRPr="0042078E" w:rsidRDefault="00AB1427" w:rsidP="00AB1427">
      <w:pPr>
        <w:pStyle w:val="Default"/>
      </w:pPr>
    </w:p>
    <w:p w14:paraId="5ECFBD94" w14:textId="522D7C30" w:rsidR="00381F12" w:rsidRPr="0042078E" w:rsidRDefault="00DD6CE9" w:rsidP="00DD6CE9">
      <w:pPr>
        <w:pStyle w:val="Default"/>
        <w:ind w:left="720" w:hanging="720"/>
      </w:pPr>
      <w:r w:rsidRPr="0042078E">
        <w:t>2.2</w:t>
      </w:r>
      <w:r w:rsidRPr="0042078E">
        <w:tab/>
      </w:r>
      <w:r w:rsidR="00AB1427" w:rsidRPr="0042078E">
        <w:t>A disturbance payment is made to compensate the occupier of the property for the reasonable expenses and losses involved in moving from their home.</w:t>
      </w:r>
    </w:p>
    <w:p w14:paraId="6B48177F" w14:textId="47BA437F" w:rsidR="00381F12" w:rsidRPr="0042078E" w:rsidRDefault="00381F12" w:rsidP="00381F12">
      <w:pPr>
        <w:pStyle w:val="Default"/>
      </w:pPr>
    </w:p>
    <w:p w14:paraId="4FBC4051" w14:textId="64D9452F" w:rsidR="00381F12" w:rsidRPr="0042078E" w:rsidRDefault="00DD6CE9" w:rsidP="00DD6CE9">
      <w:pPr>
        <w:pStyle w:val="Default"/>
        <w:ind w:left="720" w:hanging="720"/>
      </w:pPr>
      <w:r w:rsidRPr="0042078E">
        <w:t>2.3</w:t>
      </w:r>
      <w:r w:rsidRPr="0042078E">
        <w:tab/>
      </w:r>
      <w:r w:rsidR="00381F12" w:rsidRPr="0042078E">
        <w:t xml:space="preserve">Entitlement to </w:t>
      </w:r>
      <w:r w:rsidR="003C4F4B" w:rsidRPr="0042078E">
        <w:t>h</w:t>
      </w:r>
      <w:r w:rsidR="00381F12" w:rsidRPr="0042078E">
        <w:t xml:space="preserve">ome </w:t>
      </w:r>
      <w:r w:rsidR="003C4F4B" w:rsidRPr="0042078E">
        <w:t>l</w:t>
      </w:r>
      <w:r w:rsidR="00381F12" w:rsidRPr="0042078E">
        <w:t>oss and disturbance payment depends on a number of qualifying circumstances and the calculation of amounts due, if not determined by law, will be based on a fair assessment of the loss or costs incurred by customers losing their homes.</w:t>
      </w:r>
    </w:p>
    <w:p w14:paraId="0CD10F36" w14:textId="3E7DCEC0" w:rsidR="00381F12" w:rsidRDefault="00381F12" w:rsidP="00381F12">
      <w:pPr>
        <w:pStyle w:val="Default"/>
      </w:pPr>
    </w:p>
    <w:p w14:paraId="7B716780" w14:textId="77777777" w:rsidR="00111DE1" w:rsidRPr="0042078E" w:rsidRDefault="00111DE1" w:rsidP="00381F12">
      <w:pPr>
        <w:pStyle w:val="Default"/>
      </w:pPr>
    </w:p>
    <w:p w14:paraId="5A14D493" w14:textId="0E8B4C41" w:rsidR="00AB1427" w:rsidRPr="0042078E" w:rsidRDefault="00AB1427" w:rsidP="002F745B">
      <w:pPr>
        <w:rPr>
          <w:rFonts w:ascii="Arial" w:hAnsi="Arial" w:cs="Arial"/>
          <w:b/>
          <w:bCs/>
          <w:sz w:val="24"/>
          <w:szCs w:val="24"/>
        </w:rPr>
      </w:pPr>
      <w:r w:rsidRPr="0042078E">
        <w:rPr>
          <w:rFonts w:ascii="Arial" w:hAnsi="Arial" w:cs="Arial"/>
          <w:b/>
          <w:bCs/>
          <w:sz w:val="24"/>
          <w:szCs w:val="24"/>
        </w:rPr>
        <w:t>3. Aims</w:t>
      </w:r>
    </w:p>
    <w:p w14:paraId="10F910EA" w14:textId="2C95BB81" w:rsidR="00AB1427" w:rsidRPr="00DD6CE9" w:rsidRDefault="00AB1427" w:rsidP="002F745B">
      <w:pPr>
        <w:rPr>
          <w:rFonts w:ascii="Arial" w:hAnsi="Arial" w:cs="Arial"/>
          <w:sz w:val="24"/>
          <w:szCs w:val="24"/>
        </w:rPr>
      </w:pPr>
      <w:r w:rsidRPr="00DD6CE9">
        <w:rPr>
          <w:rFonts w:ascii="Arial" w:hAnsi="Arial" w:cs="Arial"/>
          <w:sz w:val="24"/>
          <w:szCs w:val="24"/>
        </w:rPr>
        <w:t>The aims of the policy are to:</w:t>
      </w:r>
    </w:p>
    <w:p w14:paraId="35B13111" w14:textId="34B327F8" w:rsidR="00DD6CE9" w:rsidRPr="00DD6CE9" w:rsidRDefault="00AB1427" w:rsidP="00DD6CE9">
      <w:pPr>
        <w:pStyle w:val="ListParagraph"/>
        <w:numPr>
          <w:ilvl w:val="0"/>
          <w:numId w:val="6"/>
        </w:numPr>
        <w:rPr>
          <w:rFonts w:ascii="Arial" w:hAnsi="Arial" w:cs="Arial"/>
          <w:sz w:val="24"/>
          <w:szCs w:val="24"/>
        </w:rPr>
      </w:pPr>
      <w:r w:rsidRPr="00DD6CE9">
        <w:rPr>
          <w:rFonts w:ascii="Arial" w:hAnsi="Arial" w:cs="Arial"/>
          <w:sz w:val="24"/>
          <w:szCs w:val="24"/>
        </w:rPr>
        <w:t xml:space="preserve">Define what </w:t>
      </w:r>
      <w:r w:rsidR="003C4F4B" w:rsidRPr="00DD6CE9">
        <w:rPr>
          <w:rFonts w:ascii="Arial" w:hAnsi="Arial" w:cs="Arial"/>
          <w:sz w:val="24"/>
          <w:szCs w:val="24"/>
        </w:rPr>
        <w:t>home loss</w:t>
      </w:r>
      <w:r w:rsidRPr="00DD6CE9">
        <w:rPr>
          <w:rFonts w:ascii="Arial" w:hAnsi="Arial" w:cs="Arial"/>
          <w:sz w:val="24"/>
          <w:szCs w:val="24"/>
        </w:rPr>
        <w:t xml:space="preserve"> and disturbance payments are</w:t>
      </w:r>
    </w:p>
    <w:p w14:paraId="798BF5FD" w14:textId="42AD548A" w:rsidR="00AB1427" w:rsidRPr="00DD6CE9" w:rsidRDefault="00AB1427" w:rsidP="00DD6CE9">
      <w:pPr>
        <w:pStyle w:val="ListParagraph"/>
        <w:numPr>
          <w:ilvl w:val="0"/>
          <w:numId w:val="6"/>
        </w:numPr>
        <w:rPr>
          <w:rFonts w:ascii="Arial" w:hAnsi="Arial" w:cs="Arial"/>
          <w:sz w:val="24"/>
          <w:szCs w:val="24"/>
        </w:rPr>
      </w:pPr>
      <w:r w:rsidRPr="00DD6CE9">
        <w:rPr>
          <w:rFonts w:ascii="Arial" w:hAnsi="Arial" w:cs="Arial"/>
          <w:sz w:val="24"/>
          <w:szCs w:val="24"/>
        </w:rPr>
        <w:t>Clarify a claimant’s eligibility for home loss and disturbance payment</w:t>
      </w:r>
    </w:p>
    <w:p w14:paraId="0E9119D6" w14:textId="6F98E933" w:rsidR="00AB1427" w:rsidRPr="00DD6CE9" w:rsidRDefault="00AB1427" w:rsidP="002F745B">
      <w:pPr>
        <w:rPr>
          <w:rFonts w:ascii="Arial" w:hAnsi="Arial" w:cs="Arial"/>
          <w:sz w:val="24"/>
          <w:szCs w:val="24"/>
        </w:rPr>
      </w:pPr>
    </w:p>
    <w:p w14:paraId="58374E26" w14:textId="64E36FD8" w:rsidR="00AB1427" w:rsidRPr="00DD6CE9" w:rsidRDefault="00AB1427" w:rsidP="002F745B">
      <w:pPr>
        <w:rPr>
          <w:rFonts w:ascii="Arial" w:hAnsi="Arial" w:cs="Arial"/>
          <w:b/>
          <w:bCs/>
          <w:sz w:val="24"/>
          <w:szCs w:val="24"/>
        </w:rPr>
      </w:pPr>
      <w:r w:rsidRPr="00DD6CE9">
        <w:rPr>
          <w:rFonts w:ascii="Arial" w:hAnsi="Arial" w:cs="Arial"/>
          <w:b/>
          <w:bCs/>
          <w:sz w:val="24"/>
          <w:szCs w:val="24"/>
        </w:rPr>
        <w:t xml:space="preserve">4. </w:t>
      </w:r>
      <w:r w:rsidR="003C4F4B" w:rsidRPr="00DD6CE9">
        <w:rPr>
          <w:rFonts w:ascii="Arial" w:hAnsi="Arial" w:cs="Arial"/>
          <w:b/>
          <w:bCs/>
          <w:sz w:val="24"/>
          <w:szCs w:val="24"/>
        </w:rPr>
        <w:t xml:space="preserve">Home </w:t>
      </w:r>
      <w:r w:rsidR="001C361F">
        <w:rPr>
          <w:rFonts w:ascii="Arial" w:hAnsi="Arial" w:cs="Arial"/>
          <w:b/>
          <w:bCs/>
          <w:sz w:val="24"/>
          <w:szCs w:val="24"/>
        </w:rPr>
        <w:t>L</w:t>
      </w:r>
      <w:r w:rsidR="003C4F4B" w:rsidRPr="00DD6CE9">
        <w:rPr>
          <w:rFonts w:ascii="Arial" w:hAnsi="Arial" w:cs="Arial"/>
          <w:b/>
          <w:bCs/>
          <w:sz w:val="24"/>
          <w:szCs w:val="24"/>
        </w:rPr>
        <w:t>oss</w:t>
      </w:r>
      <w:r w:rsidR="001C361F">
        <w:rPr>
          <w:rFonts w:ascii="Arial" w:hAnsi="Arial" w:cs="Arial"/>
          <w:b/>
          <w:bCs/>
          <w:sz w:val="24"/>
          <w:szCs w:val="24"/>
        </w:rPr>
        <w:t xml:space="preserve"> Payments</w:t>
      </w:r>
    </w:p>
    <w:p w14:paraId="6FB75CF7" w14:textId="3DD5D48A" w:rsidR="00AB1427" w:rsidRPr="00DD6CE9" w:rsidRDefault="00DD6CE9" w:rsidP="00DD6CE9">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3C4F4B" w:rsidRPr="00DD6CE9">
        <w:rPr>
          <w:rFonts w:ascii="Arial" w:hAnsi="Arial" w:cs="Arial"/>
          <w:sz w:val="24"/>
          <w:szCs w:val="24"/>
        </w:rPr>
        <w:t xml:space="preserve">Statutory home loss payments will only apply to those who are </w:t>
      </w:r>
      <w:r w:rsidR="003E62C5" w:rsidRPr="00DD6CE9">
        <w:rPr>
          <w:rFonts w:ascii="Arial" w:hAnsi="Arial" w:cs="Arial"/>
          <w:sz w:val="24"/>
          <w:szCs w:val="24"/>
        </w:rPr>
        <w:t>permanently and</w:t>
      </w:r>
      <w:r w:rsidR="003C4F4B" w:rsidRPr="00DD6CE9">
        <w:rPr>
          <w:rFonts w:ascii="Arial" w:hAnsi="Arial" w:cs="Arial"/>
          <w:sz w:val="24"/>
          <w:szCs w:val="24"/>
        </w:rPr>
        <w:t xml:space="preserve"> compulsorily moved from their home.</w:t>
      </w:r>
      <w:r w:rsidR="00C44F02" w:rsidRPr="00DD6CE9">
        <w:rPr>
          <w:rFonts w:ascii="Arial" w:hAnsi="Arial" w:cs="Arial"/>
          <w:sz w:val="24"/>
          <w:szCs w:val="24"/>
        </w:rPr>
        <w:t xml:space="preserve">  Section 29(1) of the Land Compensation Act 1973 sets out the circumstances in which a person displaced from a dwelling is entitled to a home loss payment, these are that:</w:t>
      </w:r>
    </w:p>
    <w:p w14:paraId="06224906" w14:textId="1EC7F2FB" w:rsidR="003E62C5" w:rsidRPr="003E62C5" w:rsidRDefault="00C44F02" w:rsidP="003E62C5">
      <w:pPr>
        <w:pStyle w:val="ListParagraph"/>
        <w:numPr>
          <w:ilvl w:val="0"/>
          <w:numId w:val="3"/>
        </w:numPr>
        <w:rPr>
          <w:rFonts w:ascii="Arial" w:hAnsi="Arial" w:cs="Arial"/>
          <w:sz w:val="24"/>
          <w:szCs w:val="24"/>
        </w:rPr>
      </w:pPr>
      <w:r w:rsidRPr="00DD6CE9">
        <w:rPr>
          <w:rFonts w:ascii="Arial" w:hAnsi="Arial" w:cs="Arial"/>
          <w:sz w:val="24"/>
          <w:szCs w:val="24"/>
        </w:rPr>
        <w:t>A claimant must have occupied the property as his/her sole residence for at least a year prior to the date of displacement</w:t>
      </w:r>
      <w:r w:rsidR="00B2568D">
        <w:rPr>
          <w:rFonts w:ascii="Arial" w:hAnsi="Arial" w:cs="Arial"/>
          <w:sz w:val="24"/>
          <w:szCs w:val="24"/>
        </w:rPr>
        <w:t xml:space="preserve">.  If a tenant is sub-letting or an </w:t>
      </w:r>
      <w:r w:rsidR="00B2568D">
        <w:rPr>
          <w:rFonts w:ascii="Arial" w:hAnsi="Arial" w:cs="Arial"/>
          <w:sz w:val="24"/>
          <w:szCs w:val="24"/>
        </w:rPr>
        <w:lastRenderedPageBreak/>
        <w:t>owner is letting the property but living elsewhere, then no home loss will be payable to the tenant or owner</w:t>
      </w:r>
    </w:p>
    <w:p w14:paraId="3015273E" w14:textId="0D3D7DC8" w:rsidR="00C44F02" w:rsidRPr="00DD6CE9" w:rsidRDefault="00C44F02" w:rsidP="00C44F02">
      <w:pPr>
        <w:pStyle w:val="ListParagraph"/>
        <w:numPr>
          <w:ilvl w:val="0"/>
          <w:numId w:val="3"/>
        </w:numPr>
        <w:rPr>
          <w:rFonts w:ascii="Arial" w:hAnsi="Arial" w:cs="Arial"/>
          <w:sz w:val="24"/>
          <w:szCs w:val="24"/>
        </w:rPr>
      </w:pPr>
      <w:r w:rsidRPr="00DD6CE9">
        <w:rPr>
          <w:rFonts w:ascii="Arial" w:hAnsi="Arial" w:cs="Arial"/>
          <w:sz w:val="24"/>
          <w:szCs w:val="24"/>
        </w:rPr>
        <w:t>The displacement must be permanent</w:t>
      </w:r>
    </w:p>
    <w:p w14:paraId="2D52DF06" w14:textId="3CC0160A" w:rsidR="00C44F02" w:rsidRPr="00DD6CE9" w:rsidRDefault="00C44F02" w:rsidP="00C44F02">
      <w:pPr>
        <w:pStyle w:val="ListParagraph"/>
        <w:numPr>
          <w:ilvl w:val="0"/>
          <w:numId w:val="3"/>
        </w:numPr>
        <w:rPr>
          <w:rFonts w:ascii="Arial" w:hAnsi="Arial" w:cs="Arial"/>
          <w:sz w:val="24"/>
          <w:szCs w:val="24"/>
        </w:rPr>
      </w:pPr>
      <w:r w:rsidRPr="00DD6CE9">
        <w:rPr>
          <w:rFonts w:ascii="Arial" w:hAnsi="Arial" w:cs="Arial"/>
          <w:sz w:val="24"/>
          <w:szCs w:val="24"/>
        </w:rPr>
        <w:t>The claimant’s removal is a result of</w:t>
      </w:r>
    </w:p>
    <w:p w14:paraId="301A415F" w14:textId="0F0A9FF0" w:rsidR="00C44F02" w:rsidRPr="00DD6CE9" w:rsidRDefault="00C44F02" w:rsidP="00C44F02">
      <w:pPr>
        <w:pStyle w:val="ListParagraph"/>
        <w:numPr>
          <w:ilvl w:val="0"/>
          <w:numId w:val="5"/>
        </w:numPr>
        <w:rPr>
          <w:rFonts w:ascii="Arial" w:hAnsi="Arial" w:cs="Arial"/>
          <w:sz w:val="24"/>
          <w:szCs w:val="24"/>
        </w:rPr>
      </w:pPr>
      <w:r w:rsidRPr="00DD6CE9">
        <w:rPr>
          <w:rFonts w:ascii="Arial" w:hAnsi="Arial" w:cs="Arial"/>
          <w:sz w:val="24"/>
          <w:szCs w:val="24"/>
        </w:rPr>
        <w:t>Compulsory purchase of the property</w:t>
      </w:r>
    </w:p>
    <w:p w14:paraId="25A67E26" w14:textId="3847D41F" w:rsidR="00C44F02" w:rsidRPr="00DD6CE9" w:rsidRDefault="00C44F02" w:rsidP="00C44F02">
      <w:pPr>
        <w:pStyle w:val="ListParagraph"/>
        <w:numPr>
          <w:ilvl w:val="0"/>
          <w:numId w:val="5"/>
        </w:numPr>
        <w:rPr>
          <w:rFonts w:ascii="Arial" w:hAnsi="Arial" w:cs="Arial"/>
          <w:sz w:val="24"/>
          <w:szCs w:val="24"/>
        </w:rPr>
      </w:pPr>
      <w:r w:rsidRPr="00DD6CE9">
        <w:rPr>
          <w:rFonts w:ascii="Arial" w:hAnsi="Arial" w:cs="Arial"/>
          <w:sz w:val="24"/>
          <w:szCs w:val="24"/>
        </w:rPr>
        <w:t>Making of a housing order in respect of the dwelling (that is prohibition order under Part 1 of the Housing Act 2004 or demolition order)</w:t>
      </w:r>
    </w:p>
    <w:p w14:paraId="36A17697" w14:textId="5B19A3DA" w:rsidR="00C44F02" w:rsidRPr="00DD6CE9" w:rsidRDefault="00C44F02" w:rsidP="00C44F02">
      <w:pPr>
        <w:pStyle w:val="ListParagraph"/>
        <w:numPr>
          <w:ilvl w:val="0"/>
          <w:numId w:val="5"/>
        </w:numPr>
        <w:rPr>
          <w:rFonts w:ascii="Arial" w:hAnsi="Arial" w:cs="Arial"/>
          <w:sz w:val="24"/>
          <w:szCs w:val="24"/>
        </w:rPr>
      </w:pPr>
      <w:r w:rsidRPr="00DD6CE9">
        <w:rPr>
          <w:rFonts w:ascii="Arial" w:hAnsi="Arial" w:cs="Arial"/>
          <w:sz w:val="24"/>
          <w:szCs w:val="24"/>
        </w:rPr>
        <w:t xml:space="preserve">Redevelopment of land or improvement of any dwelling on land previously acquired or appropriated by an Authority possessing </w:t>
      </w:r>
      <w:r w:rsidR="00226209" w:rsidRPr="00DD6CE9">
        <w:rPr>
          <w:rFonts w:ascii="Arial" w:hAnsi="Arial" w:cs="Arial"/>
          <w:sz w:val="24"/>
          <w:szCs w:val="24"/>
        </w:rPr>
        <w:t>compulsory purchase powers and currently held by such an Authority</w:t>
      </w:r>
    </w:p>
    <w:p w14:paraId="4A06CC27" w14:textId="77777777" w:rsidR="00110D0E" w:rsidRPr="00110D0E" w:rsidRDefault="00226209" w:rsidP="00EA4948">
      <w:pPr>
        <w:pStyle w:val="ListParagraph"/>
        <w:numPr>
          <w:ilvl w:val="0"/>
          <w:numId w:val="5"/>
        </w:numPr>
        <w:spacing w:after="0" w:line="240" w:lineRule="auto"/>
        <w:rPr>
          <w:rFonts w:ascii="Arial" w:eastAsia="Times New Roman" w:hAnsi="Arial" w:cs="Arial"/>
          <w:sz w:val="24"/>
          <w:szCs w:val="24"/>
        </w:rPr>
      </w:pPr>
      <w:r w:rsidRPr="00110D0E">
        <w:rPr>
          <w:rFonts w:ascii="Arial" w:hAnsi="Arial" w:cs="Arial"/>
          <w:sz w:val="24"/>
          <w:szCs w:val="24"/>
        </w:rPr>
        <w:t>Making of an order for possession because the landlord intends to demolish or redevelop the dwelling or carry out extensive work, or the area is to be sold and redeveloped</w:t>
      </w:r>
    </w:p>
    <w:p w14:paraId="657B5735" w14:textId="0E8F3BE7" w:rsidR="00110D0E" w:rsidRPr="00110D0E" w:rsidRDefault="00110D0E" w:rsidP="00110D0E">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color w:val="212121"/>
          <w:sz w:val="24"/>
          <w:szCs w:val="24"/>
          <w:lang w:eastAsia="en-GB"/>
        </w:rPr>
        <w:t>T</w:t>
      </w:r>
      <w:r w:rsidRPr="00110D0E">
        <w:rPr>
          <w:rFonts w:ascii="Arial" w:eastAsia="Times New Roman" w:hAnsi="Arial" w:cs="Arial"/>
          <w:color w:val="212121"/>
          <w:sz w:val="24"/>
          <w:szCs w:val="24"/>
          <w:lang w:eastAsia="en-GB"/>
        </w:rPr>
        <w:t xml:space="preserve">he carrying out of </w:t>
      </w:r>
      <w:r w:rsidRPr="00110D0E">
        <w:rPr>
          <w:rFonts w:ascii="Arial" w:eastAsia="Times New Roman" w:hAnsi="Arial" w:cs="Arial"/>
          <w:sz w:val="24"/>
          <w:szCs w:val="24"/>
          <w:lang w:eastAsia="en-GB"/>
        </w:rPr>
        <w:t>any improvement to the dwelling or of redevelopment on the land by a housing association which has previously acquired the land and at the date of the displacement is either a private registered provider of social housing or</w:t>
      </w:r>
      <w:r w:rsidRPr="00110D0E">
        <w:rPr>
          <w:rFonts w:ascii="Arial" w:eastAsia="Times New Roman" w:hAnsi="Arial" w:cs="Arial"/>
          <w:sz w:val="24"/>
          <w:szCs w:val="24"/>
          <w:vertAlign w:val="superscript"/>
          <w:lang w:eastAsia="en-GB"/>
        </w:rPr>
        <w:t xml:space="preserve"> </w:t>
      </w:r>
      <w:r w:rsidRPr="00110D0E">
        <w:rPr>
          <w:rFonts w:ascii="Arial" w:eastAsia="Times New Roman" w:hAnsi="Arial" w:cs="Arial"/>
          <w:sz w:val="24"/>
          <w:szCs w:val="24"/>
          <w:lang w:eastAsia="en-GB"/>
        </w:rPr>
        <w:t xml:space="preserve">a registered social landlord within the meaning of the </w:t>
      </w:r>
      <w:hyperlink r:id="rId7" w:history="1">
        <w:r w:rsidRPr="00110D0E">
          <w:rPr>
            <w:rStyle w:val="Hyperlink"/>
            <w:rFonts w:ascii="Arial" w:eastAsia="Times New Roman" w:hAnsi="Arial" w:cs="Arial"/>
            <w:sz w:val="24"/>
            <w:szCs w:val="24"/>
            <w:lang w:eastAsia="en-GB"/>
          </w:rPr>
          <w:t>Housing Act 1985</w:t>
        </w:r>
      </w:hyperlink>
      <w:r w:rsidRPr="00110D0E">
        <w:rPr>
          <w:rFonts w:ascii="Arial" w:eastAsia="Times New Roman" w:hAnsi="Arial" w:cs="Arial"/>
          <w:sz w:val="24"/>
          <w:szCs w:val="24"/>
          <w:lang w:eastAsia="en-GB"/>
        </w:rPr>
        <w:t xml:space="preserve"> </w:t>
      </w:r>
    </w:p>
    <w:p w14:paraId="47F4D12E" w14:textId="77777777" w:rsidR="00110D0E" w:rsidRDefault="00110D0E" w:rsidP="00110D0E">
      <w:pPr>
        <w:pStyle w:val="ListParagraph"/>
        <w:ind w:left="1440"/>
        <w:rPr>
          <w:rFonts w:ascii="Arial" w:hAnsi="Arial" w:cs="Arial"/>
          <w:sz w:val="24"/>
          <w:szCs w:val="24"/>
        </w:rPr>
      </w:pPr>
    </w:p>
    <w:p w14:paraId="756436FF" w14:textId="589DAF68" w:rsidR="003C046A" w:rsidRPr="003C046A" w:rsidRDefault="003C046A" w:rsidP="003C046A">
      <w:pPr>
        <w:pStyle w:val="ListParagraph"/>
        <w:numPr>
          <w:ilvl w:val="0"/>
          <w:numId w:val="12"/>
        </w:numPr>
        <w:rPr>
          <w:rFonts w:ascii="Arial" w:hAnsi="Arial" w:cs="Arial"/>
          <w:sz w:val="24"/>
          <w:szCs w:val="24"/>
        </w:rPr>
      </w:pPr>
      <w:r w:rsidRPr="003C046A">
        <w:rPr>
          <w:rFonts w:ascii="Arial" w:hAnsi="Arial" w:cs="Arial"/>
          <w:sz w:val="24"/>
          <w:szCs w:val="24"/>
        </w:rPr>
        <w:t xml:space="preserve">Where tenants or owners have been decanted into temporary accommodation, </w:t>
      </w:r>
      <w:r>
        <w:rPr>
          <w:rFonts w:ascii="Arial" w:hAnsi="Arial" w:cs="Arial"/>
          <w:sz w:val="24"/>
          <w:szCs w:val="24"/>
        </w:rPr>
        <w:t>h</w:t>
      </w:r>
      <w:r w:rsidRPr="003C046A">
        <w:rPr>
          <w:rFonts w:ascii="Arial" w:hAnsi="Arial" w:cs="Arial"/>
          <w:sz w:val="24"/>
          <w:szCs w:val="24"/>
        </w:rPr>
        <w:t xml:space="preserve">ome </w:t>
      </w:r>
      <w:r>
        <w:rPr>
          <w:rFonts w:ascii="Arial" w:hAnsi="Arial" w:cs="Arial"/>
          <w:sz w:val="24"/>
          <w:szCs w:val="24"/>
        </w:rPr>
        <w:t>l</w:t>
      </w:r>
      <w:r w:rsidRPr="003C046A">
        <w:rPr>
          <w:rFonts w:ascii="Arial" w:hAnsi="Arial" w:cs="Arial"/>
          <w:sz w:val="24"/>
          <w:szCs w:val="24"/>
        </w:rPr>
        <w:t xml:space="preserve">oss payments are triggered by removal from the original property. An additional </w:t>
      </w:r>
      <w:r>
        <w:rPr>
          <w:rFonts w:ascii="Arial" w:hAnsi="Arial" w:cs="Arial"/>
          <w:sz w:val="24"/>
          <w:szCs w:val="24"/>
        </w:rPr>
        <w:t>h</w:t>
      </w:r>
      <w:r w:rsidRPr="003C046A">
        <w:rPr>
          <w:rFonts w:ascii="Arial" w:hAnsi="Arial" w:cs="Arial"/>
          <w:sz w:val="24"/>
          <w:szCs w:val="24"/>
        </w:rPr>
        <w:t xml:space="preserve">ome </w:t>
      </w:r>
      <w:r>
        <w:rPr>
          <w:rFonts w:ascii="Arial" w:hAnsi="Arial" w:cs="Arial"/>
          <w:sz w:val="24"/>
          <w:szCs w:val="24"/>
        </w:rPr>
        <w:t>l</w:t>
      </w:r>
      <w:r w:rsidRPr="003C046A">
        <w:rPr>
          <w:rFonts w:ascii="Arial" w:hAnsi="Arial" w:cs="Arial"/>
          <w:sz w:val="24"/>
          <w:szCs w:val="24"/>
        </w:rPr>
        <w:t>oss payment should not be available when tenants or owners move from temporary accommodation to new permanent accommodation</w:t>
      </w:r>
      <w:r>
        <w:rPr>
          <w:rFonts w:ascii="Arial" w:hAnsi="Arial" w:cs="Arial"/>
          <w:sz w:val="24"/>
          <w:szCs w:val="24"/>
        </w:rPr>
        <w:t>.</w:t>
      </w:r>
    </w:p>
    <w:p w14:paraId="0980F8E9" w14:textId="77777777" w:rsidR="0042078E" w:rsidRDefault="0042078E" w:rsidP="0042078E">
      <w:pPr>
        <w:pStyle w:val="ListParagraph"/>
        <w:ind w:left="1440"/>
        <w:rPr>
          <w:rFonts w:ascii="Arial" w:hAnsi="Arial" w:cs="Arial"/>
          <w:sz w:val="24"/>
          <w:szCs w:val="24"/>
        </w:rPr>
      </w:pPr>
    </w:p>
    <w:p w14:paraId="410A41FF" w14:textId="4192A742" w:rsidR="0042078E" w:rsidRDefault="003E62C5" w:rsidP="0042078E">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Entitlement to statutory home loss payment starts at the point at which a decision has been taken e.g. to demolish or alter a property, and that decision has been made known to the customer.  The knowledge of the claimant is important because the removal must be the consequence of a qualifying event, as detailed in part 4.1 of this policy.</w:t>
      </w:r>
    </w:p>
    <w:p w14:paraId="6EE553EC" w14:textId="3686D2CC" w:rsidR="003E62C5" w:rsidRDefault="003E62C5" w:rsidP="003E62C5">
      <w:pPr>
        <w:ind w:left="720" w:hanging="720"/>
        <w:rPr>
          <w:rFonts w:ascii="Arial" w:hAnsi="Arial" w:cs="Arial"/>
          <w:sz w:val="24"/>
          <w:szCs w:val="24"/>
        </w:rPr>
      </w:pPr>
      <w:r>
        <w:rPr>
          <w:rFonts w:ascii="Arial" w:hAnsi="Arial" w:cs="Arial"/>
          <w:sz w:val="24"/>
          <w:szCs w:val="24"/>
        </w:rPr>
        <w:t>4.3</w:t>
      </w:r>
      <w:r>
        <w:rPr>
          <w:rFonts w:ascii="Arial" w:hAnsi="Arial" w:cs="Arial"/>
          <w:sz w:val="24"/>
          <w:szCs w:val="24"/>
        </w:rPr>
        <w:tab/>
      </w:r>
      <w:r w:rsidR="003F1B71">
        <w:rPr>
          <w:rFonts w:ascii="Arial" w:hAnsi="Arial" w:cs="Arial"/>
          <w:sz w:val="24"/>
          <w:szCs w:val="24"/>
        </w:rPr>
        <w:t xml:space="preserve">A customer who qualifies for </w:t>
      </w:r>
      <w:r w:rsidR="00FB4329">
        <w:rPr>
          <w:rFonts w:ascii="Arial" w:hAnsi="Arial" w:cs="Arial"/>
          <w:sz w:val="24"/>
          <w:szCs w:val="24"/>
        </w:rPr>
        <w:t xml:space="preserve">a </w:t>
      </w:r>
      <w:r w:rsidR="003F1B71">
        <w:rPr>
          <w:rFonts w:ascii="Arial" w:hAnsi="Arial" w:cs="Arial"/>
          <w:sz w:val="24"/>
          <w:szCs w:val="24"/>
        </w:rPr>
        <w:t xml:space="preserve">statutory home loss payment will receive a flat rate payment of £8,100, in accordance with </w:t>
      </w:r>
      <w:r w:rsidR="00CA7955">
        <w:rPr>
          <w:rFonts w:ascii="Arial" w:hAnsi="Arial" w:cs="Arial"/>
          <w:sz w:val="24"/>
          <w:szCs w:val="24"/>
        </w:rPr>
        <w:t xml:space="preserve">the Home Loss Payments (prescribed amounts) (England) Regulations.  The value of home loss payments </w:t>
      </w:r>
      <w:r w:rsidR="00B74A5F">
        <w:rPr>
          <w:rFonts w:ascii="Arial" w:hAnsi="Arial" w:cs="Arial"/>
          <w:sz w:val="24"/>
          <w:szCs w:val="24"/>
        </w:rPr>
        <w:t>is</w:t>
      </w:r>
      <w:r w:rsidR="00CA7955">
        <w:rPr>
          <w:rFonts w:ascii="Arial" w:hAnsi="Arial" w:cs="Arial"/>
          <w:sz w:val="24"/>
          <w:szCs w:val="24"/>
        </w:rPr>
        <w:t xml:space="preserve"> </w:t>
      </w:r>
      <w:r w:rsidR="00C654F8" w:rsidRPr="002F3C6B">
        <w:rPr>
          <w:rFonts w:ascii="Arial" w:hAnsi="Arial" w:cs="Arial"/>
          <w:sz w:val="24"/>
          <w:szCs w:val="24"/>
        </w:rPr>
        <w:t>revie</w:t>
      </w:r>
      <w:r w:rsidR="00C654F8" w:rsidRPr="0073386C">
        <w:rPr>
          <w:rFonts w:ascii="Arial" w:hAnsi="Arial" w:cs="Arial"/>
          <w:sz w:val="24"/>
          <w:szCs w:val="24"/>
        </w:rPr>
        <w:t xml:space="preserve">wed </w:t>
      </w:r>
      <w:r w:rsidR="00CA7955">
        <w:rPr>
          <w:rFonts w:ascii="Arial" w:hAnsi="Arial" w:cs="Arial"/>
          <w:sz w:val="24"/>
          <w:szCs w:val="24"/>
        </w:rPr>
        <w:t>annually.</w:t>
      </w:r>
      <w:r w:rsidR="003F1B71">
        <w:rPr>
          <w:rFonts w:ascii="Arial" w:hAnsi="Arial" w:cs="Arial"/>
          <w:sz w:val="24"/>
          <w:szCs w:val="24"/>
        </w:rPr>
        <w:t xml:space="preserve">  If two or more persons are entitled to a home loss payment in respect of one property, then the payment will be divided equally between them.</w:t>
      </w:r>
    </w:p>
    <w:p w14:paraId="133579E3" w14:textId="5BB81CA2" w:rsidR="0042078E" w:rsidRDefault="003F1B71" w:rsidP="0042078E">
      <w:pPr>
        <w:ind w:left="720" w:hanging="720"/>
        <w:rPr>
          <w:rFonts w:ascii="Arial" w:hAnsi="Arial" w:cs="Arial"/>
          <w:sz w:val="24"/>
          <w:szCs w:val="24"/>
        </w:rPr>
      </w:pPr>
      <w:r>
        <w:rPr>
          <w:rFonts w:ascii="Arial" w:hAnsi="Arial" w:cs="Arial"/>
          <w:sz w:val="24"/>
          <w:szCs w:val="24"/>
        </w:rPr>
        <w:t>4.4</w:t>
      </w:r>
      <w:r>
        <w:rPr>
          <w:rFonts w:ascii="Arial" w:hAnsi="Arial" w:cs="Arial"/>
          <w:sz w:val="24"/>
          <w:szCs w:val="24"/>
        </w:rPr>
        <w:tab/>
        <w:t>There may be circumstances e.g. demolition of a block of flats which contain owner occupied properties, where the owners are entitled to claim for home loss payments.  In these situations, an owner is entitled to receive up to 10% of the market value of their home with a minimum payment of £8,100 and a maximum payment of £81,000.  Owners who do not think that their home has been valued correctly can appeal to the Upper Tribunal (Lands Chamber).</w:t>
      </w:r>
    </w:p>
    <w:p w14:paraId="412F6A36" w14:textId="48E5514C" w:rsidR="00FB4329" w:rsidRDefault="00FB4329" w:rsidP="0042078E">
      <w:pPr>
        <w:ind w:left="720" w:hanging="720"/>
        <w:rPr>
          <w:rFonts w:ascii="Arial" w:hAnsi="Arial" w:cs="Arial"/>
          <w:sz w:val="24"/>
          <w:szCs w:val="24"/>
        </w:rPr>
      </w:pPr>
    </w:p>
    <w:p w14:paraId="206CAD4C" w14:textId="77777777" w:rsidR="00C34BD0" w:rsidRDefault="00C34BD0" w:rsidP="0042078E">
      <w:pPr>
        <w:ind w:left="720" w:hanging="720"/>
        <w:rPr>
          <w:rFonts w:ascii="Arial" w:hAnsi="Arial" w:cs="Arial"/>
          <w:sz w:val="24"/>
          <w:szCs w:val="24"/>
        </w:rPr>
      </w:pPr>
    </w:p>
    <w:p w14:paraId="550469C4" w14:textId="280B0D65" w:rsidR="00FB4329" w:rsidRDefault="0042078E" w:rsidP="003E62C5">
      <w:pPr>
        <w:ind w:left="720" w:hanging="720"/>
        <w:rPr>
          <w:rFonts w:ascii="Arial" w:hAnsi="Arial" w:cs="Arial"/>
          <w:b/>
          <w:bCs/>
          <w:sz w:val="24"/>
          <w:szCs w:val="24"/>
        </w:rPr>
      </w:pPr>
      <w:r w:rsidRPr="0042078E">
        <w:rPr>
          <w:rFonts w:ascii="Arial" w:hAnsi="Arial" w:cs="Arial"/>
          <w:b/>
          <w:bCs/>
          <w:sz w:val="24"/>
          <w:szCs w:val="24"/>
        </w:rPr>
        <w:lastRenderedPageBreak/>
        <w:t xml:space="preserve">5. Discretionary </w:t>
      </w:r>
      <w:r w:rsidR="001C361F">
        <w:rPr>
          <w:rFonts w:ascii="Arial" w:hAnsi="Arial" w:cs="Arial"/>
          <w:b/>
          <w:bCs/>
          <w:sz w:val="24"/>
          <w:szCs w:val="24"/>
        </w:rPr>
        <w:t>H</w:t>
      </w:r>
      <w:r w:rsidRPr="0042078E">
        <w:rPr>
          <w:rFonts w:ascii="Arial" w:hAnsi="Arial" w:cs="Arial"/>
          <w:b/>
          <w:bCs/>
          <w:sz w:val="24"/>
          <w:szCs w:val="24"/>
        </w:rPr>
        <w:t xml:space="preserve">ome </w:t>
      </w:r>
      <w:r w:rsidR="001C361F">
        <w:rPr>
          <w:rFonts w:ascii="Arial" w:hAnsi="Arial" w:cs="Arial"/>
          <w:b/>
          <w:bCs/>
          <w:sz w:val="24"/>
          <w:szCs w:val="24"/>
        </w:rPr>
        <w:t>Los</w:t>
      </w:r>
      <w:r w:rsidRPr="0042078E">
        <w:rPr>
          <w:rFonts w:ascii="Arial" w:hAnsi="Arial" w:cs="Arial"/>
          <w:b/>
          <w:bCs/>
          <w:sz w:val="24"/>
          <w:szCs w:val="24"/>
        </w:rPr>
        <w:t xml:space="preserve">s </w:t>
      </w:r>
      <w:r w:rsidR="001C361F">
        <w:rPr>
          <w:rFonts w:ascii="Arial" w:hAnsi="Arial" w:cs="Arial"/>
          <w:b/>
          <w:bCs/>
          <w:sz w:val="24"/>
          <w:szCs w:val="24"/>
        </w:rPr>
        <w:t>P</w:t>
      </w:r>
      <w:r w:rsidRPr="0042078E">
        <w:rPr>
          <w:rFonts w:ascii="Arial" w:hAnsi="Arial" w:cs="Arial"/>
          <w:b/>
          <w:bCs/>
          <w:sz w:val="24"/>
          <w:szCs w:val="24"/>
        </w:rPr>
        <w:t>ayment</w:t>
      </w:r>
    </w:p>
    <w:p w14:paraId="63484773" w14:textId="7EED199D" w:rsidR="00F76E09" w:rsidRDefault="00FB4329" w:rsidP="00F76E09">
      <w:pPr>
        <w:ind w:left="720" w:hanging="720"/>
        <w:rPr>
          <w:rFonts w:ascii="Arial" w:hAnsi="Arial" w:cs="Arial"/>
          <w:sz w:val="24"/>
          <w:szCs w:val="24"/>
        </w:rPr>
      </w:pPr>
      <w:r w:rsidRPr="00111DE1">
        <w:rPr>
          <w:rFonts w:ascii="Arial" w:hAnsi="Arial" w:cs="Arial"/>
          <w:sz w:val="24"/>
          <w:szCs w:val="24"/>
        </w:rPr>
        <w:t xml:space="preserve">Where a customer does not qualify for a statutory </w:t>
      </w:r>
      <w:r w:rsidR="001C361F">
        <w:rPr>
          <w:rFonts w:ascii="Arial" w:hAnsi="Arial" w:cs="Arial"/>
          <w:sz w:val="24"/>
          <w:szCs w:val="24"/>
        </w:rPr>
        <w:t>h</w:t>
      </w:r>
      <w:r w:rsidRPr="00111DE1">
        <w:rPr>
          <w:rFonts w:ascii="Arial" w:hAnsi="Arial" w:cs="Arial"/>
          <w:sz w:val="24"/>
          <w:szCs w:val="24"/>
        </w:rPr>
        <w:t xml:space="preserve">ome </w:t>
      </w:r>
      <w:r w:rsidR="001C361F">
        <w:rPr>
          <w:rFonts w:ascii="Arial" w:hAnsi="Arial" w:cs="Arial"/>
          <w:sz w:val="24"/>
          <w:szCs w:val="24"/>
        </w:rPr>
        <w:t>l</w:t>
      </w:r>
      <w:r w:rsidRPr="00111DE1">
        <w:rPr>
          <w:rFonts w:ascii="Arial" w:hAnsi="Arial" w:cs="Arial"/>
          <w:sz w:val="24"/>
          <w:szCs w:val="24"/>
        </w:rPr>
        <w:t>oss payment, then</w:t>
      </w:r>
    </w:p>
    <w:p w14:paraId="19F89997" w14:textId="7271616F" w:rsidR="00FB4329" w:rsidRPr="00111DE1" w:rsidRDefault="00FB4329" w:rsidP="00F76E09">
      <w:pPr>
        <w:rPr>
          <w:rFonts w:ascii="Arial" w:hAnsi="Arial" w:cs="Arial"/>
          <w:sz w:val="24"/>
          <w:szCs w:val="24"/>
        </w:rPr>
      </w:pPr>
      <w:r w:rsidRPr="00111DE1">
        <w:rPr>
          <w:rFonts w:ascii="Arial" w:hAnsi="Arial" w:cs="Arial"/>
          <w:sz w:val="24"/>
          <w:szCs w:val="24"/>
        </w:rPr>
        <w:t xml:space="preserve">Sandwell Council may decide whether to make a discretionary </w:t>
      </w:r>
      <w:r w:rsidR="001C361F">
        <w:rPr>
          <w:rFonts w:ascii="Arial" w:hAnsi="Arial" w:cs="Arial"/>
          <w:sz w:val="24"/>
          <w:szCs w:val="24"/>
        </w:rPr>
        <w:t>h</w:t>
      </w:r>
      <w:r w:rsidRPr="00111DE1">
        <w:rPr>
          <w:rFonts w:ascii="Arial" w:hAnsi="Arial" w:cs="Arial"/>
          <w:sz w:val="24"/>
          <w:szCs w:val="24"/>
        </w:rPr>
        <w:t xml:space="preserve">ome </w:t>
      </w:r>
      <w:r w:rsidR="001C361F">
        <w:rPr>
          <w:rFonts w:ascii="Arial" w:hAnsi="Arial" w:cs="Arial"/>
          <w:sz w:val="24"/>
          <w:szCs w:val="24"/>
        </w:rPr>
        <w:t>l</w:t>
      </w:r>
      <w:r w:rsidRPr="00111DE1">
        <w:rPr>
          <w:rFonts w:ascii="Arial" w:hAnsi="Arial" w:cs="Arial"/>
          <w:sz w:val="24"/>
          <w:szCs w:val="24"/>
        </w:rPr>
        <w:t>oss payment.  The circumstances under which discretionary payments could be made will vary</w:t>
      </w:r>
      <w:r w:rsidR="0048194A" w:rsidRPr="00111DE1">
        <w:rPr>
          <w:rFonts w:ascii="Arial" w:hAnsi="Arial" w:cs="Arial"/>
          <w:sz w:val="24"/>
          <w:szCs w:val="24"/>
        </w:rPr>
        <w:t>, payments may be made for one or more of the following reasons:</w:t>
      </w:r>
    </w:p>
    <w:p w14:paraId="17EF1915" w14:textId="03161A5F" w:rsidR="0048194A" w:rsidRPr="00111DE1" w:rsidRDefault="0048194A" w:rsidP="0048194A">
      <w:pPr>
        <w:pStyle w:val="ListParagraph"/>
        <w:numPr>
          <w:ilvl w:val="0"/>
          <w:numId w:val="7"/>
        </w:numPr>
        <w:rPr>
          <w:rFonts w:ascii="Arial" w:hAnsi="Arial" w:cs="Arial"/>
          <w:sz w:val="24"/>
          <w:szCs w:val="24"/>
        </w:rPr>
      </w:pPr>
      <w:r w:rsidRPr="00111DE1">
        <w:rPr>
          <w:rFonts w:ascii="Arial" w:hAnsi="Arial" w:cs="Arial"/>
          <w:sz w:val="24"/>
          <w:szCs w:val="24"/>
        </w:rPr>
        <w:t xml:space="preserve">Sandwell Council have made the decision to decant the customer permanently from their home but the qualifying criteria </w:t>
      </w:r>
      <w:r w:rsidR="001C361F">
        <w:rPr>
          <w:rFonts w:ascii="Arial" w:hAnsi="Arial" w:cs="Arial"/>
          <w:sz w:val="24"/>
          <w:szCs w:val="24"/>
        </w:rPr>
        <w:t xml:space="preserve">in section 4.1 </w:t>
      </w:r>
      <w:r w:rsidRPr="00111DE1">
        <w:rPr>
          <w:rFonts w:ascii="Arial" w:hAnsi="Arial" w:cs="Arial"/>
          <w:sz w:val="24"/>
          <w:szCs w:val="24"/>
        </w:rPr>
        <w:t>is not met; or</w:t>
      </w:r>
    </w:p>
    <w:p w14:paraId="2D1BCC94" w14:textId="417BEAA1" w:rsidR="0048194A" w:rsidRDefault="00B74A5F" w:rsidP="00742AC7">
      <w:pPr>
        <w:pStyle w:val="ListParagraph"/>
        <w:numPr>
          <w:ilvl w:val="0"/>
          <w:numId w:val="7"/>
        </w:numPr>
        <w:rPr>
          <w:rFonts w:ascii="Arial" w:hAnsi="Arial" w:cs="Arial"/>
          <w:sz w:val="24"/>
          <w:szCs w:val="24"/>
        </w:rPr>
      </w:pPr>
      <w:r w:rsidRPr="003C046A">
        <w:rPr>
          <w:rFonts w:ascii="Arial" w:hAnsi="Arial" w:cs="Arial"/>
          <w:sz w:val="24"/>
          <w:szCs w:val="24"/>
        </w:rPr>
        <w:t>To</w:t>
      </w:r>
      <w:r w:rsidR="0048194A" w:rsidRPr="003C046A">
        <w:rPr>
          <w:rFonts w:ascii="Arial" w:hAnsi="Arial" w:cs="Arial"/>
          <w:sz w:val="24"/>
          <w:szCs w:val="24"/>
        </w:rPr>
        <w:t xml:space="preserve"> prevent a delay in taking projects or plans forward; or</w:t>
      </w:r>
    </w:p>
    <w:p w14:paraId="1F52B0C8" w14:textId="33466B70" w:rsidR="005F3ED7" w:rsidRPr="003C046A" w:rsidRDefault="0048194A" w:rsidP="00742AC7">
      <w:pPr>
        <w:pStyle w:val="ListParagraph"/>
        <w:numPr>
          <w:ilvl w:val="0"/>
          <w:numId w:val="7"/>
        </w:numPr>
        <w:rPr>
          <w:rFonts w:ascii="Arial" w:hAnsi="Arial" w:cs="Arial"/>
          <w:sz w:val="24"/>
          <w:szCs w:val="24"/>
        </w:rPr>
      </w:pPr>
      <w:r w:rsidRPr="003C046A">
        <w:rPr>
          <w:rFonts w:ascii="Arial" w:hAnsi="Arial" w:cs="Arial"/>
          <w:sz w:val="24"/>
          <w:szCs w:val="24"/>
        </w:rPr>
        <w:t xml:space="preserve">The customer does not qualify for a statutory </w:t>
      </w:r>
      <w:r w:rsidR="001C361F" w:rsidRPr="003C046A">
        <w:rPr>
          <w:rFonts w:ascii="Arial" w:hAnsi="Arial" w:cs="Arial"/>
          <w:sz w:val="24"/>
          <w:szCs w:val="24"/>
        </w:rPr>
        <w:t>h</w:t>
      </w:r>
      <w:r w:rsidRPr="003C046A">
        <w:rPr>
          <w:rFonts w:ascii="Arial" w:hAnsi="Arial" w:cs="Arial"/>
          <w:sz w:val="24"/>
          <w:szCs w:val="24"/>
        </w:rPr>
        <w:t xml:space="preserve">ome </w:t>
      </w:r>
      <w:r w:rsidR="001C361F" w:rsidRPr="003C046A">
        <w:rPr>
          <w:rFonts w:ascii="Arial" w:hAnsi="Arial" w:cs="Arial"/>
          <w:sz w:val="24"/>
          <w:szCs w:val="24"/>
        </w:rPr>
        <w:t>l</w:t>
      </w:r>
      <w:r w:rsidRPr="003C046A">
        <w:rPr>
          <w:rFonts w:ascii="Arial" w:hAnsi="Arial" w:cs="Arial"/>
          <w:sz w:val="24"/>
          <w:szCs w:val="24"/>
        </w:rPr>
        <w:t>oss payment because of their tenure type or length of time that they have occupied the property</w:t>
      </w:r>
    </w:p>
    <w:p w14:paraId="38AD9823" w14:textId="7683AA62" w:rsidR="00111DE1" w:rsidRDefault="008A2962" w:rsidP="003C046A">
      <w:pPr>
        <w:rPr>
          <w:rFonts w:ascii="Arial" w:hAnsi="Arial" w:cs="Arial"/>
          <w:b/>
          <w:bCs/>
          <w:color w:val="FF0000"/>
          <w:sz w:val="24"/>
          <w:szCs w:val="24"/>
        </w:rPr>
      </w:pPr>
      <w:r w:rsidRPr="00111DE1">
        <w:rPr>
          <w:rFonts w:ascii="Arial" w:hAnsi="Arial" w:cs="Arial"/>
          <w:sz w:val="24"/>
          <w:szCs w:val="24"/>
        </w:rPr>
        <w:t>The Housing Operations Manager will be responsible for identifying the need for a discretionary payment.  Each case will need to be considered on its own merit and any decision taken will not set a precedent</w:t>
      </w:r>
      <w:r w:rsidRPr="00111DE1">
        <w:rPr>
          <w:rFonts w:ascii="Arial" w:hAnsi="Arial" w:cs="Arial"/>
          <w:color w:val="FF0000"/>
          <w:sz w:val="24"/>
          <w:szCs w:val="24"/>
        </w:rPr>
        <w:t xml:space="preserve">.  </w:t>
      </w:r>
      <w:r w:rsidR="00742AC7" w:rsidRPr="00742AC7">
        <w:rPr>
          <w:rFonts w:ascii="Arial" w:hAnsi="Arial" w:cs="Arial"/>
          <w:sz w:val="24"/>
          <w:szCs w:val="24"/>
        </w:rPr>
        <w:t xml:space="preserve">The </w:t>
      </w:r>
      <w:r w:rsidR="0073386C">
        <w:rPr>
          <w:rFonts w:ascii="Arial" w:hAnsi="Arial" w:cs="Arial"/>
          <w:sz w:val="24"/>
          <w:szCs w:val="24"/>
        </w:rPr>
        <w:t xml:space="preserve">Head of </w:t>
      </w:r>
      <w:r w:rsidR="00742AC7" w:rsidRPr="00742AC7">
        <w:rPr>
          <w:rFonts w:ascii="Arial" w:hAnsi="Arial" w:cs="Arial"/>
          <w:sz w:val="24"/>
          <w:szCs w:val="24"/>
        </w:rPr>
        <w:t xml:space="preserve">Housing </w:t>
      </w:r>
      <w:r w:rsidR="0073386C">
        <w:rPr>
          <w:rFonts w:ascii="Arial" w:hAnsi="Arial" w:cs="Arial"/>
          <w:sz w:val="24"/>
          <w:szCs w:val="24"/>
        </w:rPr>
        <w:t xml:space="preserve">or Assistant Director </w:t>
      </w:r>
      <w:r w:rsidR="00742AC7" w:rsidRPr="00742AC7">
        <w:rPr>
          <w:rFonts w:ascii="Arial" w:hAnsi="Arial" w:cs="Arial"/>
          <w:sz w:val="24"/>
          <w:szCs w:val="24"/>
        </w:rPr>
        <w:t xml:space="preserve">will need to approve any </w:t>
      </w:r>
      <w:r w:rsidRPr="00742AC7">
        <w:rPr>
          <w:rFonts w:ascii="Arial" w:hAnsi="Arial" w:cs="Arial"/>
          <w:sz w:val="24"/>
          <w:szCs w:val="24"/>
        </w:rPr>
        <w:t>payment</w:t>
      </w:r>
      <w:r w:rsidR="00742AC7" w:rsidRPr="00742AC7">
        <w:rPr>
          <w:rFonts w:ascii="Arial" w:hAnsi="Arial" w:cs="Arial"/>
          <w:sz w:val="24"/>
          <w:szCs w:val="24"/>
        </w:rPr>
        <w:t>.</w:t>
      </w:r>
    </w:p>
    <w:p w14:paraId="0CD45177" w14:textId="77777777" w:rsidR="00742AC7" w:rsidRPr="008A2962" w:rsidRDefault="00742AC7" w:rsidP="003C046A">
      <w:pPr>
        <w:ind w:left="720"/>
        <w:rPr>
          <w:rFonts w:ascii="Arial" w:hAnsi="Arial" w:cs="Arial"/>
          <w:b/>
          <w:bCs/>
          <w:color w:val="FF0000"/>
          <w:sz w:val="24"/>
          <w:szCs w:val="24"/>
        </w:rPr>
      </w:pPr>
    </w:p>
    <w:p w14:paraId="5A9663AE" w14:textId="3E6081E1" w:rsidR="0048194A" w:rsidRPr="00111DE1" w:rsidRDefault="00111DE1" w:rsidP="00111DE1">
      <w:pPr>
        <w:rPr>
          <w:rFonts w:ascii="Arial" w:hAnsi="Arial" w:cs="Arial"/>
          <w:b/>
          <w:bCs/>
          <w:sz w:val="24"/>
          <w:szCs w:val="24"/>
        </w:rPr>
      </w:pPr>
      <w:r>
        <w:rPr>
          <w:rFonts w:ascii="Arial" w:hAnsi="Arial" w:cs="Arial"/>
          <w:b/>
          <w:bCs/>
          <w:sz w:val="24"/>
          <w:szCs w:val="24"/>
        </w:rPr>
        <w:t>6. Disturbance Payment</w:t>
      </w:r>
    </w:p>
    <w:p w14:paraId="149289BD" w14:textId="4AFA0C1C" w:rsidR="003E62C5" w:rsidRPr="003E62C5" w:rsidRDefault="0085037B" w:rsidP="003E62C5">
      <w:pPr>
        <w:rPr>
          <w:rFonts w:ascii="Arial" w:hAnsi="Arial" w:cs="Arial"/>
          <w:sz w:val="24"/>
          <w:szCs w:val="24"/>
        </w:rPr>
      </w:pPr>
      <w:r>
        <w:rPr>
          <w:rFonts w:ascii="Arial" w:hAnsi="Arial" w:cs="Arial"/>
          <w:sz w:val="24"/>
          <w:szCs w:val="24"/>
        </w:rPr>
        <w:t>A d</w:t>
      </w:r>
      <w:r w:rsidR="00F76E09">
        <w:rPr>
          <w:rFonts w:ascii="Arial" w:hAnsi="Arial" w:cs="Arial"/>
          <w:sz w:val="24"/>
          <w:szCs w:val="24"/>
        </w:rPr>
        <w:t>isturbance payment can only be paid to customers who are permanently moved form their home.  The payment is intended to cover the reasonable expenses of moving.</w:t>
      </w:r>
      <w:r w:rsidR="00CA7955">
        <w:rPr>
          <w:rFonts w:ascii="Arial" w:hAnsi="Arial" w:cs="Arial"/>
          <w:sz w:val="24"/>
          <w:szCs w:val="24"/>
        </w:rPr>
        <w:tab/>
      </w:r>
      <w:r w:rsidR="00111DE1">
        <w:rPr>
          <w:rFonts w:ascii="Arial" w:hAnsi="Arial" w:cs="Arial"/>
          <w:sz w:val="24"/>
          <w:szCs w:val="24"/>
        </w:rPr>
        <w:tab/>
      </w:r>
    </w:p>
    <w:p w14:paraId="54EE0088" w14:textId="194C6449" w:rsidR="00AB1427" w:rsidRDefault="006474FF" w:rsidP="002F745B">
      <w:pPr>
        <w:rPr>
          <w:rFonts w:ascii="Arial" w:hAnsi="Arial" w:cs="Arial"/>
          <w:sz w:val="24"/>
          <w:szCs w:val="24"/>
        </w:rPr>
      </w:pPr>
      <w:r>
        <w:rPr>
          <w:rFonts w:ascii="Arial" w:hAnsi="Arial" w:cs="Arial"/>
          <w:sz w:val="24"/>
          <w:szCs w:val="24"/>
        </w:rPr>
        <w:t xml:space="preserve">In order qualify for a disturbance payment, the claimant must be </w:t>
      </w:r>
      <w:r w:rsidR="0085037B">
        <w:rPr>
          <w:rFonts w:ascii="Arial" w:hAnsi="Arial" w:cs="Arial"/>
          <w:sz w:val="24"/>
          <w:szCs w:val="24"/>
        </w:rPr>
        <w:t xml:space="preserve">in </w:t>
      </w:r>
      <w:r>
        <w:rPr>
          <w:rFonts w:ascii="Arial" w:hAnsi="Arial" w:cs="Arial"/>
          <w:sz w:val="24"/>
          <w:szCs w:val="24"/>
        </w:rPr>
        <w:t xml:space="preserve">the occupation of their home at the ‘applicable date’ and the move must be a direct consequence of one </w:t>
      </w:r>
      <w:r w:rsidR="0085037B">
        <w:rPr>
          <w:rFonts w:ascii="Arial" w:hAnsi="Arial" w:cs="Arial"/>
          <w:sz w:val="24"/>
          <w:szCs w:val="24"/>
        </w:rPr>
        <w:t xml:space="preserve">of </w:t>
      </w:r>
      <w:r>
        <w:rPr>
          <w:rFonts w:ascii="Arial" w:hAnsi="Arial" w:cs="Arial"/>
          <w:sz w:val="24"/>
          <w:szCs w:val="24"/>
        </w:rPr>
        <w:t>the criteria listed in section 4.1 above.</w:t>
      </w:r>
    </w:p>
    <w:p w14:paraId="3EEA461E" w14:textId="7D62626A" w:rsidR="006474FF" w:rsidRDefault="006474FF" w:rsidP="002F745B">
      <w:pPr>
        <w:rPr>
          <w:rFonts w:ascii="Arial" w:hAnsi="Arial" w:cs="Arial"/>
          <w:sz w:val="24"/>
          <w:szCs w:val="24"/>
        </w:rPr>
      </w:pPr>
      <w:r>
        <w:rPr>
          <w:rFonts w:ascii="Arial" w:hAnsi="Arial" w:cs="Arial"/>
          <w:sz w:val="24"/>
          <w:szCs w:val="24"/>
        </w:rPr>
        <w:t>The ‘applicable date’ will be one of the following:</w:t>
      </w:r>
    </w:p>
    <w:p w14:paraId="3FFBD21B" w14:textId="1481EC15" w:rsidR="006474FF" w:rsidRDefault="006474FF" w:rsidP="006474FF">
      <w:pPr>
        <w:pStyle w:val="ListParagraph"/>
        <w:numPr>
          <w:ilvl w:val="0"/>
          <w:numId w:val="9"/>
        </w:numPr>
        <w:rPr>
          <w:rFonts w:ascii="Arial" w:hAnsi="Arial" w:cs="Arial"/>
          <w:sz w:val="24"/>
          <w:szCs w:val="24"/>
        </w:rPr>
      </w:pPr>
      <w:r>
        <w:rPr>
          <w:rFonts w:ascii="Arial" w:hAnsi="Arial" w:cs="Arial"/>
          <w:sz w:val="24"/>
          <w:szCs w:val="24"/>
        </w:rPr>
        <w:t>The date the compulsory purchase order was reached</w:t>
      </w:r>
    </w:p>
    <w:p w14:paraId="574A9567" w14:textId="7925E9E1" w:rsidR="006474FF" w:rsidRDefault="006474FF" w:rsidP="006474FF">
      <w:pPr>
        <w:pStyle w:val="ListParagraph"/>
        <w:numPr>
          <w:ilvl w:val="0"/>
          <w:numId w:val="9"/>
        </w:numPr>
        <w:rPr>
          <w:rFonts w:ascii="Arial" w:hAnsi="Arial" w:cs="Arial"/>
          <w:sz w:val="24"/>
          <w:szCs w:val="24"/>
        </w:rPr>
      </w:pPr>
      <w:r>
        <w:rPr>
          <w:rFonts w:ascii="Arial" w:hAnsi="Arial" w:cs="Arial"/>
          <w:sz w:val="24"/>
          <w:szCs w:val="24"/>
        </w:rPr>
        <w:t>The date Sandwell Council makes a demolition, closing or improvement order</w:t>
      </w:r>
    </w:p>
    <w:p w14:paraId="3E8A456A" w14:textId="59F57E53" w:rsidR="006474FF" w:rsidRDefault="006474FF" w:rsidP="006474FF">
      <w:pPr>
        <w:pStyle w:val="ListParagraph"/>
        <w:numPr>
          <w:ilvl w:val="0"/>
          <w:numId w:val="9"/>
        </w:numPr>
        <w:rPr>
          <w:rFonts w:ascii="Arial" w:hAnsi="Arial" w:cs="Arial"/>
          <w:sz w:val="24"/>
          <w:szCs w:val="24"/>
        </w:rPr>
      </w:pPr>
      <w:r>
        <w:rPr>
          <w:rFonts w:ascii="Arial" w:hAnsi="Arial" w:cs="Arial"/>
          <w:sz w:val="24"/>
          <w:szCs w:val="24"/>
        </w:rPr>
        <w:t>The date the customer agrees to move for improvement or redevelopment</w:t>
      </w:r>
    </w:p>
    <w:p w14:paraId="39FC274C" w14:textId="6CA617C7" w:rsidR="006474FF" w:rsidRDefault="006474FF" w:rsidP="006474FF">
      <w:pPr>
        <w:pStyle w:val="ListParagraph"/>
        <w:numPr>
          <w:ilvl w:val="0"/>
          <w:numId w:val="9"/>
        </w:numPr>
        <w:rPr>
          <w:rFonts w:ascii="Arial" w:hAnsi="Arial" w:cs="Arial"/>
          <w:sz w:val="24"/>
          <w:szCs w:val="24"/>
        </w:rPr>
      </w:pPr>
      <w:r>
        <w:rPr>
          <w:rFonts w:ascii="Arial" w:hAnsi="Arial" w:cs="Arial"/>
          <w:sz w:val="24"/>
          <w:szCs w:val="24"/>
        </w:rPr>
        <w:t>The date that a Court Order is granted for repossession of the property</w:t>
      </w:r>
    </w:p>
    <w:p w14:paraId="4E4D82F2" w14:textId="3AF8C9E1" w:rsidR="006474FF" w:rsidRDefault="006474FF" w:rsidP="006474FF">
      <w:pPr>
        <w:rPr>
          <w:rFonts w:ascii="Arial" w:hAnsi="Arial" w:cs="Arial"/>
          <w:sz w:val="24"/>
          <w:szCs w:val="24"/>
        </w:rPr>
      </w:pPr>
      <w:r>
        <w:rPr>
          <w:rFonts w:ascii="Arial" w:hAnsi="Arial" w:cs="Arial"/>
          <w:sz w:val="24"/>
          <w:szCs w:val="24"/>
        </w:rPr>
        <w:t>We will pay up to £1</w:t>
      </w:r>
      <w:r w:rsidR="00724795">
        <w:rPr>
          <w:rFonts w:ascii="Arial" w:hAnsi="Arial" w:cs="Arial"/>
          <w:sz w:val="24"/>
          <w:szCs w:val="24"/>
        </w:rPr>
        <w:t>5</w:t>
      </w:r>
      <w:r>
        <w:rPr>
          <w:rFonts w:ascii="Arial" w:hAnsi="Arial" w:cs="Arial"/>
          <w:sz w:val="24"/>
          <w:szCs w:val="24"/>
        </w:rPr>
        <w:t>00 to compensate our customers and homeowners for any reasonable expenses incurred in moving from their home due to demolition or any other redevelopment plans that affect their property.  Any customers who dispute this amount will need to provide receipts to demonstrate their reasonable expenses.</w:t>
      </w:r>
    </w:p>
    <w:p w14:paraId="094A6FFD" w14:textId="4402EFD9" w:rsidR="006474FF" w:rsidRDefault="00F72480" w:rsidP="006474FF">
      <w:pPr>
        <w:rPr>
          <w:rFonts w:ascii="Arial" w:hAnsi="Arial" w:cs="Arial"/>
          <w:sz w:val="24"/>
          <w:szCs w:val="24"/>
        </w:rPr>
      </w:pPr>
      <w:r>
        <w:rPr>
          <w:rFonts w:ascii="Arial" w:hAnsi="Arial" w:cs="Arial"/>
          <w:sz w:val="24"/>
          <w:szCs w:val="24"/>
        </w:rPr>
        <w:t>The following list, which is not exhaustive, is an example of the type of items that may be claimed for:</w:t>
      </w:r>
    </w:p>
    <w:p w14:paraId="3FB82708" w14:textId="48733F2F" w:rsidR="00F72480" w:rsidRDefault="00F72480" w:rsidP="00F72480">
      <w:pPr>
        <w:pStyle w:val="ListParagraph"/>
        <w:numPr>
          <w:ilvl w:val="0"/>
          <w:numId w:val="10"/>
        </w:numPr>
        <w:rPr>
          <w:rFonts w:ascii="Arial" w:hAnsi="Arial" w:cs="Arial"/>
          <w:sz w:val="24"/>
          <w:szCs w:val="24"/>
        </w:rPr>
      </w:pPr>
      <w:r>
        <w:rPr>
          <w:rFonts w:ascii="Arial" w:hAnsi="Arial" w:cs="Arial"/>
          <w:sz w:val="24"/>
          <w:szCs w:val="24"/>
        </w:rPr>
        <w:t>Removal costs</w:t>
      </w:r>
    </w:p>
    <w:p w14:paraId="6191061A" w14:textId="5DA31251" w:rsidR="00F72480" w:rsidRDefault="00F72480" w:rsidP="00F72480">
      <w:pPr>
        <w:pStyle w:val="ListParagraph"/>
        <w:numPr>
          <w:ilvl w:val="0"/>
          <w:numId w:val="10"/>
        </w:numPr>
        <w:rPr>
          <w:rFonts w:ascii="Arial" w:hAnsi="Arial" w:cs="Arial"/>
          <w:sz w:val="24"/>
          <w:szCs w:val="24"/>
        </w:rPr>
      </w:pPr>
      <w:r>
        <w:rPr>
          <w:rFonts w:ascii="Arial" w:hAnsi="Arial" w:cs="Arial"/>
          <w:sz w:val="24"/>
          <w:szCs w:val="24"/>
        </w:rPr>
        <w:t xml:space="preserve">Disconnection and reconnection of cookers, internet routers, </w:t>
      </w:r>
      <w:r w:rsidR="00B9039A">
        <w:rPr>
          <w:rFonts w:ascii="Arial" w:hAnsi="Arial" w:cs="Arial"/>
          <w:sz w:val="24"/>
          <w:szCs w:val="24"/>
        </w:rPr>
        <w:t xml:space="preserve">landline </w:t>
      </w:r>
      <w:r>
        <w:rPr>
          <w:rFonts w:ascii="Arial" w:hAnsi="Arial" w:cs="Arial"/>
          <w:sz w:val="24"/>
          <w:szCs w:val="24"/>
        </w:rPr>
        <w:t>telephones, house alarms</w:t>
      </w:r>
      <w:r w:rsidR="00B9039A">
        <w:rPr>
          <w:rFonts w:ascii="Arial" w:hAnsi="Arial" w:cs="Arial"/>
          <w:sz w:val="24"/>
          <w:szCs w:val="24"/>
        </w:rPr>
        <w:t>,</w:t>
      </w:r>
      <w:r>
        <w:rPr>
          <w:rFonts w:ascii="Arial" w:hAnsi="Arial" w:cs="Arial"/>
          <w:sz w:val="24"/>
          <w:szCs w:val="24"/>
        </w:rPr>
        <w:t xml:space="preserve"> washing machines and television satellites</w:t>
      </w:r>
    </w:p>
    <w:p w14:paraId="48098911" w14:textId="161D992D" w:rsidR="00F72480" w:rsidRDefault="00F72480" w:rsidP="00F72480">
      <w:pPr>
        <w:pStyle w:val="ListParagraph"/>
        <w:numPr>
          <w:ilvl w:val="0"/>
          <w:numId w:val="10"/>
        </w:numPr>
        <w:rPr>
          <w:rFonts w:ascii="Arial" w:hAnsi="Arial" w:cs="Arial"/>
          <w:sz w:val="24"/>
          <w:szCs w:val="24"/>
        </w:rPr>
      </w:pPr>
      <w:r>
        <w:rPr>
          <w:rFonts w:ascii="Arial" w:hAnsi="Arial" w:cs="Arial"/>
          <w:sz w:val="24"/>
          <w:szCs w:val="24"/>
        </w:rPr>
        <w:t xml:space="preserve">Replacement cooker if the current appliance cannot be connected to the new energy supply </w:t>
      </w:r>
    </w:p>
    <w:p w14:paraId="7B997737" w14:textId="088A1C42" w:rsidR="00F72480" w:rsidRDefault="00F72480" w:rsidP="00F72480">
      <w:pPr>
        <w:pStyle w:val="ListParagraph"/>
        <w:numPr>
          <w:ilvl w:val="0"/>
          <w:numId w:val="10"/>
        </w:numPr>
        <w:rPr>
          <w:rFonts w:ascii="Arial" w:hAnsi="Arial" w:cs="Arial"/>
          <w:sz w:val="24"/>
          <w:szCs w:val="24"/>
        </w:rPr>
      </w:pPr>
      <w:r>
        <w:rPr>
          <w:rFonts w:ascii="Arial" w:hAnsi="Arial" w:cs="Arial"/>
          <w:sz w:val="24"/>
          <w:szCs w:val="24"/>
        </w:rPr>
        <w:lastRenderedPageBreak/>
        <w:t>Redirection of mail for 6 months</w:t>
      </w:r>
    </w:p>
    <w:p w14:paraId="356AB957" w14:textId="17ACA438" w:rsidR="00F72480" w:rsidRDefault="00F72480" w:rsidP="00F72480">
      <w:pPr>
        <w:pStyle w:val="ListParagraph"/>
        <w:numPr>
          <w:ilvl w:val="0"/>
          <w:numId w:val="10"/>
        </w:numPr>
        <w:rPr>
          <w:rFonts w:ascii="Arial" w:hAnsi="Arial" w:cs="Arial"/>
          <w:sz w:val="24"/>
          <w:szCs w:val="24"/>
        </w:rPr>
      </w:pPr>
      <w:r>
        <w:rPr>
          <w:rFonts w:ascii="Arial" w:hAnsi="Arial" w:cs="Arial"/>
          <w:sz w:val="24"/>
          <w:szCs w:val="24"/>
        </w:rPr>
        <w:t>Salary/wage loss of the day of moving (proof will be needed from the Employer)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45"/>
      </w:tblGrid>
      <w:tr w:rsidR="00F72480" w:rsidRPr="00F72480" w14:paraId="60DB7399" w14:textId="77777777">
        <w:trPr>
          <w:trHeight w:val="388"/>
        </w:trPr>
        <w:tc>
          <w:tcPr>
            <w:tcW w:w="8445" w:type="dxa"/>
          </w:tcPr>
          <w:p w14:paraId="0C7B3DD7" w14:textId="1842BF71" w:rsidR="00F72480" w:rsidRDefault="001C361F" w:rsidP="00F72480">
            <w:pPr>
              <w:pStyle w:val="ListParagraph"/>
              <w:numPr>
                <w:ilvl w:val="0"/>
                <w:numId w:val="10"/>
              </w:numPr>
              <w:rPr>
                <w:rFonts w:ascii="Arial" w:hAnsi="Arial" w:cs="Arial"/>
                <w:sz w:val="24"/>
                <w:szCs w:val="24"/>
              </w:rPr>
            </w:pPr>
            <w:r>
              <w:rPr>
                <w:rFonts w:ascii="Arial" w:hAnsi="Arial" w:cs="Arial"/>
                <w:sz w:val="24"/>
                <w:szCs w:val="24"/>
              </w:rPr>
              <w:t>W</w:t>
            </w:r>
            <w:r w:rsidR="00F72480" w:rsidRPr="00F72480">
              <w:rPr>
                <w:rFonts w:ascii="Arial" w:hAnsi="Arial" w:cs="Arial"/>
                <w:sz w:val="24"/>
                <w:szCs w:val="24"/>
              </w:rPr>
              <w:t xml:space="preserve">e will not in general cover costs for new or replacement items such as carpets or furnishings. However, all cases will be reviewed with </w:t>
            </w:r>
            <w:r>
              <w:rPr>
                <w:rFonts w:ascii="Arial" w:hAnsi="Arial" w:cs="Arial"/>
                <w:sz w:val="24"/>
                <w:szCs w:val="24"/>
              </w:rPr>
              <w:t>r</w:t>
            </w:r>
            <w:r w:rsidR="00F72480" w:rsidRPr="00F72480">
              <w:rPr>
                <w:rFonts w:ascii="Arial" w:hAnsi="Arial" w:cs="Arial"/>
                <w:sz w:val="24"/>
                <w:szCs w:val="24"/>
              </w:rPr>
              <w:t xml:space="preserve">egard to the individual circumstances of the case. </w:t>
            </w:r>
          </w:p>
          <w:p w14:paraId="53B71316" w14:textId="02371F02" w:rsidR="00742AC7" w:rsidRDefault="00742AC7" w:rsidP="00F72480">
            <w:pPr>
              <w:pStyle w:val="ListParagraph"/>
              <w:numPr>
                <w:ilvl w:val="0"/>
                <w:numId w:val="10"/>
              </w:numPr>
              <w:rPr>
                <w:rFonts w:ascii="Arial" w:hAnsi="Arial" w:cs="Arial"/>
                <w:sz w:val="24"/>
                <w:szCs w:val="24"/>
              </w:rPr>
            </w:pPr>
            <w:r>
              <w:rPr>
                <w:rFonts w:ascii="Arial" w:hAnsi="Arial" w:cs="Arial"/>
                <w:sz w:val="24"/>
                <w:szCs w:val="24"/>
              </w:rPr>
              <w:t>Any payment for replacement items will be made on a like for like basis and not for replacing old with new</w:t>
            </w:r>
          </w:p>
          <w:p w14:paraId="17AD3844" w14:textId="77777777" w:rsidR="00742AC7" w:rsidRDefault="00742AC7" w:rsidP="003C046A">
            <w:pPr>
              <w:pStyle w:val="ListParagraph"/>
              <w:rPr>
                <w:rFonts w:ascii="Arial" w:hAnsi="Arial" w:cs="Arial"/>
                <w:sz w:val="24"/>
                <w:szCs w:val="24"/>
              </w:rPr>
            </w:pPr>
          </w:p>
          <w:p w14:paraId="6008D8F3" w14:textId="628F2633" w:rsidR="001C361F" w:rsidRDefault="001C361F" w:rsidP="001C361F">
            <w:pPr>
              <w:rPr>
                <w:rFonts w:ascii="Arial" w:hAnsi="Arial" w:cs="Arial"/>
                <w:sz w:val="24"/>
                <w:szCs w:val="24"/>
              </w:rPr>
            </w:pPr>
          </w:p>
          <w:p w14:paraId="28B957C2" w14:textId="77777777" w:rsidR="001C361F" w:rsidRDefault="001C361F" w:rsidP="001C361F">
            <w:pPr>
              <w:rPr>
                <w:rFonts w:ascii="Arial" w:hAnsi="Arial" w:cs="Arial"/>
                <w:sz w:val="24"/>
                <w:szCs w:val="24"/>
              </w:rPr>
            </w:pPr>
          </w:p>
          <w:p w14:paraId="6FE941D3" w14:textId="77777777" w:rsidR="001C361F" w:rsidRPr="001C361F" w:rsidRDefault="001C361F" w:rsidP="001C361F">
            <w:pPr>
              <w:rPr>
                <w:rFonts w:ascii="Arial" w:hAnsi="Arial" w:cs="Arial"/>
                <w:b/>
                <w:bCs/>
                <w:sz w:val="24"/>
                <w:szCs w:val="24"/>
              </w:rPr>
            </w:pPr>
            <w:r w:rsidRPr="001C361F">
              <w:rPr>
                <w:rFonts w:ascii="Arial" w:hAnsi="Arial" w:cs="Arial"/>
                <w:b/>
                <w:bCs/>
                <w:sz w:val="24"/>
                <w:szCs w:val="24"/>
              </w:rPr>
              <w:t>7. Discretionary Disturbance Payment</w:t>
            </w:r>
          </w:p>
          <w:p w14:paraId="067744AE" w14:textId="2756FC89" w:rsidR="001C361F" w:rsidRPr="00111DE1" w:rsidRDefault="001C361F" w:rsidP="001C361F">
            <w:pPr>
              <w:rPr>
                <w:rFonts w:ascii="Arial" w:hAnsi="Arial" w:cs="Arial"/>
                <w:sz w:val="24"/>
                <w:szCs w:val="24"/>
              </w:rPr>
            </w:pPr>
            <w:r>
              <w:rPr>
                <w:rFonts w:ascii="Arial" w:hAnsi="Arial" w:cs="Arial"/>
                <w:sz w:val="24"/>
                <w:szCs w:val="24"/>
              </w:rPr>
              <w:t>Where a customer does not qualify for disturbance payment</w:t>
            </w:r>
            <w:r w:rsidR="00742AC7">
              <w:rPr>
                <w:rFonts w:ascii="Arial" w:hAnsi="Arial" w:cs="Arial"/>
                <w:sz w:val="24"/>
                <w:szCs w:val="24"/>
              </w:rPr>
              <w:t xml:space="preserve"> or it is agreed that the initial disturbance payment is not adequate compensation</w:t>
            </w:r>
            <w:r>
              <w:rPr>
                <w:rFonts w:ascii="Arial" w:hAnsi="Arial" w:cs="Arial"/>
                <w:sz w:val="24"/>
                <w:szCs w:val="24"/>
              </w:rPr>
              <w:t xml:space="preserve">, then Sandwell Council may decide whether to make a discretionary disturbance payment.  The circumstances </w:t>
            </w:r>
            <w:r w:rsidRPr="00111DE1">
              <w:rPr>
                <w:rFonts w:ascii="Arial" w:hAnsi="Arial" w:cs="Arial"/>
                <w:sz w:val="24"/>
                <w:szCs w:val="24"/>
              </w:rPr>
              <w:t>under which discretionary payments could be made will vary, payments may be made for one or more of the following reasons:</w:t>
            </w:r>
          </w:p>
          <w:p w14:paraId="28927239" w14:textId="0A326720" w:rsidR="001C361F" w:rsidRPr="00111DE1" w:rsidRDefault="001C361F" w:rsidP="001C361F">
            <w:pPr>
              <w:pStyle w:val="ListParagraph"/>
              <w:numPr>
                <w:ilvl w:val="0"/>
                <w:numId w:val="7"/>
              </w:numPr>
              <w:rPr>
                <w:rFonts w:ascii="Arial" w:hAnsi="Arial" w:cs="Arial"/>
                <w:sz w:val="24"/>
                <w:szCs w:val="24"/>
              </w:rPr>
            </w:pPr>
            <w:r w:rsidRPr="00111DE1">
              <w:rPr>
                <w:rFonts w:ascii="Arial" w:hAnsi="Arial" w:cs="Arial"/>
                <w:sz w:val="24"/>
                <w:szCs w:val="24"/>
              </w:rPr>
              <w:t xml:space="preserve">Sandwell Council have made the decision to decant the customer permanently from their home but the qualifying criteria </w:t>
            </w:r>
            <w:r>
              <w:rPr>
                <w:rFonts w:ascii="Arial" w:hAnsi="Arial" w:cs="Arial"/>
                <w:sz w:val="24"/>
                <w:szCs w:val="24"/>
              </w:rPr>
              <w:t xml:space="preserve">in section 6 </w:t>
            </w:r>
            <w:r w:rsidRPr="00111DE1">
              <w:rPr>
                <w:rFonts w:ascii="Arial" w:hAnsi="Arial" w:cs="Arial"/>
                <w:sz w:val="24"/>
                <w:szCs w:val="24"/>
              </w:rPr>
              <w:t>is not met; or</w:t>
            </w:r>
          </w:p>
          <w:p w14:paraId="1534B23A" w14:textId="17A42D59" w:rsidR="001C361F" w:rsidRPr="00111DE1" w:rsidRDefault="00B74A5F" w:rsidP="001C361F">
            <w:pPr>
              <w:pStyle w:val="ListParagraph"/>
              <w:numPr>
                <w:ilvl w:val="0"/>
                <w:numId w:val="7"/>
              </w:numPr>
              <w:rPr>
                <w:rFonts w:ascii="Arial" w:hAnsi="Arial" w:cs="Arial"/>
                <w:sz w:val="24"/>
                <w:szCs w:val="24"/>
              </w:rPr>
            </w:pPr>
            <w:r w:rsidRPr="00111DE1">
              <w:rPr>
                <w:rFonts w:ascii="Arial" w:hAnsi="Arial" w:cs="Arial"/>
                <w:sz w:val="24"/>
                <w:szCs w:val="24"/>
              </w:rPr>
              <w:t>To</w:t>
            </w:r>
            <w:r w:rsidR="001C361F" w:rsidRPr="00111DE1">
              <w:rPr>
                <w:rFonts w:ascii="Arial" w:hAnsi="Arial" w:cs="Arial"/>
                <w:sz w:val="24"/>
                <w:szCs w:val="24"/>
              </w:rPr>
              <w:t xml:space="preserve"> prevent a delay in taking projects or plans forward; or</w:t>
            </w:r>
          </w:p>
          <w:p w14:paraId="21A6136B" w14:textId="77777777" w:rsidR="001C361F" w:rsidRPr="00111DE1" w:rsidRDefault="001C361F" w:rsidP="001C361F">
            <w:pPr>
              <w:pStyle w:val="ListParagraph"/>
              <w:numPr>
                <w:ilvl w:val="0"/>
                <w:numId w:val="7"/>
              </w:numPr>
              <w:rPr>
                <w:rFonts w:ascii="Arial" w:hAnsi="Arial" w:cs="Arial"/>
                <w:sz w:val="24"/>
                <w:szCs w:val="24"/>
              </w:rPr>
            </w:pPr>
            <w:r w:rsidRPr="00111DE1">
              <w:rPr>
                <w:rFonts w:ascii="Arial" w:hAnsi="Arial" w:cs="Arial"/>
                <w:sz w:val="24"/>
                <w:szCs w:val="24"/>
              </w:rPr>
              <w:t xml:space="preserve">The customer does not qualify for a statutory </w:t>
            </w:r>
            <w:r>
              <w:rPr>
                <w:rFonts w:ascii="Arial" w:hAnsi="Arial" w:cs="Arial"/>
                <w:sz w:val="24"/>
                <w:szCs w:val="24"/>
              </w:rPr>
              <w:t>h</w:t>
            </w:r>
            <w:r w:rsidRPr="00111DE1">
              <w:rPr>
                <w:rFonts w:ascii="Arial" w:hAnsi="Arial" w:cs="Arial"/>
                <w:sz w:val="24"/>
                <w:szCs w:val="24"/>
              </w:rPr>
              <w:t xml:space="preserve">ome </w:t>
            </w:r>
            <w:r>
              <w:rPr>
                <w:rFonts w:ascii="Arial" w:hAnsi="Arial" w:cs="Arial"/>
                <w:sz w:val="24"/>
                <w:szCs w:val="24"/>
              </w:rPr>
              <w:t>l</w:t>
            </w:r>
            <w:r w:rsidRPr="00111DE1">
              <w:rPr>
                <w:rFonts w:ascii="Arial" w:hAnsi="Arial" w:cs="Arial"/>
                <w:sz w:val="24"/>
                <w:szCs w:val="24"/>
              </w:rPr>
              <w:t>oss payment because of their tenure type or length of time that they have occupied the property</w:t>
            </w:r>
          </w:p>
          <w:p w14:paraId="158AC845" w14:textId="77777777" w:rsidR="00742AC7" w:rsidRDefault="001C361F" w:rsidP="003C046A">
            <w:pPr>
              <w:rPr>
                <w:rFonts w:ascii="Arial" w:hAnsi="Arial" w:cs="Arial"/>
                <w:b/>
                <w:bCs/>
                <w:color w:val="FF0000"/>
                <w:sz w:val="24"/>
                <w:szCs w:val="24"/>
              </w:rPr>
            </w:pPr>
            <w:r w:rsidRPr="00111DE1">
              <w:rPr>
                <w:rFonts w:ascii="Arial" w:hAnsi="Arial" w:cs="Arial"/>
                <w:sz w:val="24"/>
                <w:szCs w:val="24"/>
              </w:rPr>
              <w:t>The Housing Operations Manager will be responsible for identifying the need for a discretionary payment.  Each case will need to be considered on its own merit and any decision taken will not set a precedent</w:t>
            </w:r>
            <w:r w:rsidRPr="00111DE1">
              <w:rPr>
                <w:rFonts w:ascii="Arial" w:hAnsi="Arial" w:cs="Arial"/>
                <w:color w:val="FF0000"/>
                <w:sz w:val="24"/>
                <w:szCs w:val="24"/>
              </w:rPr>
              <w:t xml:space="preserve">.  </w:t>
            </w:r>
            <w:r w:rsidR="00742AC7" w:rsidRPr="00742AC7">
              <w:rPr>
                <w:rFonts w:ascii="Arial" w:hAnsi="Arial" w:cs="Arial"/>
                <w:sz w:val="24"/>
                <w:szCs w:val="24"/>
              </w:rPr>
              <w:t>The Director of Housing will need to approve any payment.</w:t>
            </w:r>
          </w:p>
          <w:p w14:paraId="3FB46B13" w14:textId="77777777" w:rsidR="001C361F" w:rsidRDefault="001C361F" w:rsidP="001C361F">
            <w:pPr>
              <w:rPr>
                <w:rFonts w:ascii="Arial" w:hAnsi="Arial" w:cs="Arial"/>
                <w:sz w:val="24"/>
                <w:szCs w:val="24"/>
              </w:rPr>
            </w:pPr>
          </w:p>
          <w:p w14:paraId="06906E70" w14:textId="77777777" w:rsidR="001C361F" w:rsidRPr="00B74A5F" w:rsidRDefault="001C361F" w:rsidP="001C361F">
            <w:pPr>
              <w:rPr>
                <w:rFonts w:ascii="Arial" w:hAnsi="Arial" w:cs="Arial"/>
                <w:b/>
                <w:bCs/>
                <w:sz w:val="24"/>
                <w:szCs w:val="24"/>
              </w:rPr>
            </w:pPr>
            <w:r w:rsidRPr="00B74A5F">
              <w:rPr>
                <w:rFonts w:ascii="Arial" w:hAnsi="Arial" w:cs="Arial"/>
                <w:b/>
                <w:bCs/>
                <w:sz w:val="24"/>
                <w:szCs w:val="24"/>
              </w:rPr>
              <w:t>8. Additional Payments</w:t>
            </w:r>
          </w:p>
          <w:p w14:paraId="19394D68" w14:textId="77777777" w:rsidR="001C361F" w:rsidRDefault="001C361F" w:rsidP="001C361F">
            <w:pPr>
              <w:rPr>
                <w:rFonts w:ascii="Arial" w:hAnsi="Arial" w:cs="Arial"/>
                <w:sz w:val="24"/>
                <w:szCs w:val="24"/>
              </w:rPr>
            </w:pPr>
            <w:r>
              <w:rPr>
                <w:rFonts w:ascii="Arial" w:hAnsi="Arial" w:cs="Arial"/>
                <w:sz w:val="24"/>
                <w:szCs w:val="24"/>
              </w:rPr>
              <w:t>In accordance with the Housing Act 1985, customer</w:t>
            </w:r>
            <w:r w:rsidR="00B74A5F">
              <w:rPr>
                <w:rFonts w:ascii="Arial" w:hAnsi="Arial" w:cs="Arial"/>
                <w:sz w:val="24"/>
                <w:szCs w:val="24"/>
              </w:rPr>
              <w:t>s</w:t>
            </w:r>
            <w:r>
              <w:rPr>
                <w:rFonts w:ascii="Arial" w:hAnsi="Arial" w:cs="Arial"/>
                <w:sz w:val="24"/>
                <w:szCs w:val="24"/>
              </w:rPr>
              <w:t xml:space="preserve"> have the right to compensation </w:t>
            </w:r>
            <w:r w:rsidR="00B74A5F">
              <w:rPr>
                <w:rFonts w:ascii="Arial" w:hAnsi="Arial" w:cs="Arial"/>
                <w:sz w:val="24"/>
                <w:szCs w:val="24"/>
              </w:rPr>
              <w:t>for certain improvements, made at their own expense to their home.  This payment will only apply to qualifying improvements where Sandwell Council’s prior permission had been obtained.  The claim only applies to work undertaken after 1 April 1994.</w:t>
            </w:r>
          </w:p>
          <w:p w14:paraId="375FC042" w14:textId="77777777" w:rsidR="00B74A5F" w:rsidRDefault="00B74A5F" w:rsidP="001C361F">
            <w:pPr>
              <w:rPr>
                <w:rFonts w:ascii="Arial" w:hAnsi="Arial" w:cs="Arial"/>
                <w:sz w:val="24"/>
                <w:szCs w:val="24"/>
              </w:rPr>
            </w:pPr>
          </w:p>
          <w:p w14:paraId="5CDD0F5F" w14:textId="77777777" w:rsidR="00B74A5F" w:rsidRPr="00B74A5F" w:rsidRDefault="00B74A5F" w:rsidP="001C361F">
            <w:pPr>
              <w:rPr>
                <w:rFonts w:ascii="Arial" w:hAnsi="Arial" w:cs="Arial"/>
                <w:b/>
                <w:bCs/>
                <w:sz w:val="24"/>
                <w:szCs w:val="24"/>
              </w:rPr>
            </w:pPr>
            <w:r w:rsidRPr="00B74A5F">
              <w:rPr>
                <w:rFonts w:ascii="Arial" w:hAnsi="Arial" w:cs="Arial"/>
                <w:b/>
                <w:bCs/>
                <w:sz w:val="24"/>
                <w:szCs w:val="24"/>
              </w:rPr>
              <w:t>9. Outstanding Debt</w:t>
            </w:r>
          </w:p>
          <w:p w14:paraId="73B1DC89" w14:textId="77777777" w:rsidR="00B74A5F" w:rsidRDefault="00B74A5F" w:rsidP="001C361F">
            <w:pPr>
              <w:rPr>
                <w:rFonts w:ascii="Arial" w:hAnsi="Arial" w:cs="Arial"/>
                <w:sz w:val="24"/>
                <w:szCs w:val="24"/>
              </w:rPr>
            </w:pPr>
            <w:r>
              <w:rPr>
                <w:rFonts w:ascii="Arial" w:hAnsi="Arial" w:cs="Arial"/>
                <w:sz w:val="24"/>
                <w:szCs w:val="24"/>
              </w:rPr>
              <w:t xml:space="preserve">Where a home loss or disturbance payment is to be made, and the customer receiving the payment has rent arrears of other debts owing to Sandwell </w:t>
            </w:r>
            <w:r>
              <w:rPr>
                <w:rFonts w:ascii="Arial" w:hAnsi="Arial" w:cs="Arial"/>
                <w:sz w:val="24"/>
                <w:szCs w:val="24"/>
              </w:rPr>
              <w:lastRenderedPageBreak/>
              <w:t>Council, then arrangements will be made with the customer for the outstanding debt to be recovered form the home loss or disturbance payment.</w:t>
            </w:r>
          </w:p>
          <w:p w14:paraId="38796047" w14:textId="77777777" w:rsidR="00B74A5F" w:rsidRDefault="00B74A5F" w:rsidP="001C361F">
            <w:pPr>
              <w:rPr>
                <w:rFonts w:ascii="Arial" w:hAnsi="Arial" w:cs="Arial"/>
                <w:sz w:val="24"/>
                <w:szCs w:val="24"/>
              </w:rPr>
            </w:pPr>
          </w:p>
          <w:p w14:paraId="63EA9923" w14:textId="40B45760" w:rsidR="00B74A5F" w:rsidRPr="00B74A5F" w:rsidRDefault="00B74A5F" w:rsidP="001C361F">
            <w:pPr>
              <w:rPr>
                <w:rFonts w:ascii="Arial" w:hAnsi="Arial" w:cs="Arial"/>
                <w:b/>
                <w:bCs/>
                <w:sz w:val="24"/>
                <w:szCs w:val="24"/>
              </w:rPr>
            </w:pPr>
            <w:r w:rsidRPr="00B74A5F">
              <w:rPr>
                <w:rFonts w:ascii="Arial" w:hAnsi="Arial" w:cs="Arial"/>
                <w:b/>
                <w:bCs/>
                <w:sz w:val="24"/>
                <w:szCs w:val="24"/>
              </w:rPr>
              <w:t>10</w:t>
            </w:r>
            <w:r>
              <w:rPr>
                <w:rFonts w:ascii="Arial" w:hAnsi="Arial" w:cs="Arial"/>
                <w:b/>
                <w:bCs/>
                <w:sz w:val="24"/>
                <w:szCs w:val="24"/>
              </w:rPr>
              <w:t>.</w:t>
            </w:r>
            <w:r w:rsidRPr="00B74A5F">
              <w:rPr>
                <w:rFonts w:ascii="Arial" w:hAnsi="Arial" w:cs="Arial"/>
                <w:b/>
                <w:bCs/>
                <w:sz w:val="24"/>
                <w:szCs w:val="24"/>
              </w:rPr>
              <w:t xml:space="preserve"> Review</w:t>
            </w:r>
          </w:p>
          <w:p w14:paraId="02DFDAD9" w14:textId="2ACC043C" w:rsidR="00B74A5F" w:rsidRPr="001C361F" w:rsidRDefault="00B74A5F" w:rsidP="001C361F">
            <w:pPr>
              <w:rPr>
                <w:rFonts w:ascii="Arial" w:hAnsi="Arial" w:cs="Arial"/>
                <w:sz w:val="24"/>
                <w:szCs w:val="24"/>
              </w:rPr>
            </w:pPr>
            <w:r>
              <w:rPr>
                <w:rFonts w:ascii="Arial" w:hAnsi="Arial" w:cs="Arial"/>
                <w:sz w:val="24"/>
                <w:szCs w:val="24"/>
              </w:rPr>
              <w:t xml:space="preserve">This policy will be reviewed every </w:t>
            </w:r>
            <w:r w:rsidR="00130755">
              <w:rPr>
                <w:rFonts w:ascii="Arial" w:hAnsi="Arial" w:cs="Arial"/>
                <w:sz w:val="24"/>
                <w:szCs w:val="24"/>
              </w:rPr>
              <w:t xml:space="preserve">5 </w:t>
            </w:r>
            <w:r>
              <w:rPr>
                <w:rFonts w:ascii="Arial" w:hAnsi="Arial" w:cs="Arial"/>
                <w:sz w:val="24"/>
                <w:szCs w:val="24"/>
              </w:rPr>
              <w:t>years or sooner if there are any legislative changes that affect the policy.</w:t>
            </w:r>
          </w:p>
        </w:tc>
      </w:tr>
    </w:tbl>
    <w:p w14:paraId="3923352C" w14:textId="77777777" w:rsidR="00F72480" w:rsidRPr="00F72480" w:rsidRDefault="00F72480" w:rsidP="00F72480">
      <w:pPr>
        <w:pStyle w:val="ListParagraph"/>
        <w:rPr>
          <w:rFonts w:ascii="Arial" w:hAnsi="Arial" w:cs="Arial"/>
          <w:sz w:val="24"/>
          <w:szCs w:val="24"/>
        </w:rPr>
      </w:pPr>
    </w:p>
    <w:p w14:paraId="12C8D9C4" w14:textId="77777777" w:rsidR="006474FF" w:rsidRPr="006474FF" w:rsidRDefault="006474FF" w:rsidP="006474FF">
      <w:pPr>
        <w:rPr>
          <w:rFonts w:ascii="Arial" w:hAnsi="Arial" w:cs="Arial"/>
          <w:sz w:val="24"/>
          <w:szCs w:val="24"/>
        </w:rPr>
      </w:pPr>
    </w:p>
    <w:p w14:paraId="2291D87E" w14:textId="77777777" w:rsidR="002F745B" w:rsidRPr="00DD6CE9" w:rsidRDefault="002F745B" w:rsidP="002F745B">
      <w:pPr>
        <w:rPr>
          <w:rFonts w:ascii="Arial" w:hAnsi="Arial" w:cs="Arial"/>
          <w:sz w:val="24"/>
          <w:szCs w:val="24"/>
        </w:rPr>
      </w:pPr>
    </w:p>
    <w:sectPr w:rsidR="002F745B" w:rsidRPr="00DD6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DB3"/>
    <w:multiLevelType w:val="hybridMultilevel"/>
    <w:tmpl w:val="5A248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680F8A"/>
    <w:multiLevelType w:val="hybridMultilevel"/>
    <w:tmpl w:val="928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E1A64"/>
    <w:multiLevelType w:val="hybridMultilevel"/>
    <w:tmpl w:val="5006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2340F"/>
    <w:multiLevelType w:val="hybridMultilevel"/>
    <w:tmpl w:val="E30263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1332F8"/>
    <w:multiLevelType w:val="hybridMultilevel"/>
    <w:tmpl w:val="BB74E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A0CAB"/>
    <w:multiLevelType w:val="hybridMultilevel"/>
    <w:tmpl w:val="764E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748FC"/>
    <w:multiLevelType w:val="hybridMultilevel"/>
    <w:tmpl w:val="54AA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3602C"/>
    <w:multiLevelType w:val="hybridMultilevel"/>
    <w:tmpl w:val="8B04B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0318C8"/>
    <w:multiLevelType w:val="hybridMultilevel"/>
    <w:tmpl w:val="A3A45DD0"/>
    <w:lvl w:ilvl="0" w:tplc="E286EF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771AFD"/>
    <w:multiLevelType w:val="hybridMultilevel"/>
    <w:tmpl w:val="3BC0B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A42CE"/>
    <w:multiLevelType w:val="hybridMultilevel"/>
    <w:tmpl w:val="438C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77A7A"/>
    <w:multiLevelType w:val="hybridMultilevel"/>
    <w:tmpl w:val="249E18D8"/>
    <w:lvl w:ilvl="0" w:tplc="BC4C31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AD1CC5"/>
    <w:multiLevelType w:val="hybridMultilevel"/>
    <w:tmpl w:val="7AFA5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1"/>
  </w:num>
  <w:num w:numId="5">
    <w:abstractNumId w:val="8"/>
  </w:num>
  <w:num w:numId="6">
    <w:abstractNumId w:val="1"/>
  </w:num>
  <w:num w:numId="7">
    <w:abstractNumId w:val="4"/>
  </w:num>
  <w:num w:numId="8">
    <w:abstractNumId w:val="7"/>
  </w:num>
  <w:num w:numId="9">
    <w:abstractNumId w:val="6"/>
  </w:num>
  <w:num w:numId="10">
    <w:abstractNumId w:val="2"/>
  </w:num>
  <w:num w:numId="11">
    <w:abstractNumId w:val="3"/>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9D"/>
    <w:rsid w:val="000E13D7"/>
    <w:rsid w:val="00110D0E"/>
    <w:rsid w:val="00111DE1"/>
    <w:rsid w:val="00130755"/>
    <w:rsid w:val="0019308F"/>
    <w:rsid w:val="001C361F"/>
    <w:rsid w:val="00226209"/>
    <w:rsid w:val="002F745B"/>
    <w:rsid w:val="00381F12"/>
    <w:rsid w:val="003C046A"/>
    <w:rsid w:val="003C4F4B"/>
    <w:rsid w:val="003E62C5"/>
    <w:rsid w:val="003F1B71"/>
    <w:rsid w:val="0042078E"/>
    <w:rsid w:val="0048194A"/>
    <w:rsid w:val="005F3ED7"/>
    <w:rsid w:val="006474FF"/>
    <w:rsid w:val="006E601B"/>
    <w:rsid w:val="00724795"/>
    <w:rsid w:val="0073386C"/>
    <w:rsid w:val="00742AC7"/>
    <w:rsid w:val="00780AD2"/>
    <w:rsid w:val="0085037B"/>
    <w:rsid w:val="008A2962"/>
    <w:rsid w:val="00923B6F"/>
    <w:rsid w:val="00996160"/>
    <w:rsid w:val="009C1552"/>
    <w:rsid w:val="00AB1427"/>
    <w:rsid w:val="00AB7CD4"/>
    <w:rsid w:val="00AC28E5"/>
    <w:rsid w:val="00B2568D"/>
    <w:rsid w:val="00B5379D"/>
    <w:rsid w:val="00B74A5F"/>
    <w:rsid w:val="00B9039A"/>
    <w:rsid w:val="00C1663F"/>
    <w:rsid w:val="00C34BD0"/>
    <w:rsid w:val="00C44F02"/>
    <w:rsid w:val="00C654F8"/>
    <w:rsid w:val="00CA3BCE"/>
    <w:rsid w:val="00CA7955"/>
    <w:rsid w:val="00D27B53"/>
    <w:rsid w:val="00DD6CE9"/>
    <w:rsid w:val="00F72480"/>
    <w:rsid w:val="00F76E09"/>
    <w:rsid w:val="00FB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2FBD"/>
  <w15:chartTrackingRefBased/>
  <w15:docId w15:val="{8FD6F8B9-5D23-48C1-8C59-09FBE302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3F"/>
    <w:pPr>
      <w:ind w:left="720"/>
      <w:contextualSpacing/>
    </w:pPr>
  </w:style>
  <w:style w:type="paragraph" w:customStyle="1" w:styleId="Default">
    <w:name w:val="Default"/>
    <w:rsid w:val="00C166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90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39A"/>
    <w:rPr>
      <w:rFonts w:ascii="Segoe UI" w:hAnsi="Segoe UI" w:cs="Segoe UI"/>
      <w:sz w:val="18"/>
      <w:szCs w:val="18"/>
    </w:rPr>
  </w:style>
  <w:style w:type="character" w:styleId="CommentReference">
    <w:name w:val="annotation reference"/>
    <w:basedOn w:val="DefaultParagraphFont"/>
    <w:uiPriority w:val="99"/>
    <w:semiHidden/>
    <w:unhideWhenUsed/>
    <w:rsid w:val="0085037B"/>
    <w:rPr>
      <w:sz w:val="16"/>
      <w:szCs w:val="16"/>
    </w:rPr>
  </w:style>
  <w:style w:type="paragraph" w:styleId="CommentText">
    <w:name w:val="annotation text"/>
    <w:basedOn w:val="Normal"/>
    <w:link w:val="CommentTextChar"/>
    <w:uiPriority w:val="99"/>
    <w:semiHidden/>
    <w:unhideWhenUsed/>
    <w:rsid w:val="0085037B"/>
    <w:pPr>
      <w:spacing w:line="240" w:lineRule="auto"/>
    </w:pPr>
    <w:rPr>
      <w:sz w:val="20"/>
      <w:szCs w:val="20"/>
    </w:rPr>
  </w:style>
  <w:style w:type="character" w:customStyle="1" w:styleId="CommentTextChar">
    <w:name w:val="Comment Text Char"/>
    <w:basedOn w:val="DefaultParagraphFont"/>
    <w:link w:val="CommentText"/>
    <w:uiPriority w:val="99"/>
    <w:semiHidden/>
    <w:rsid w:val="0085037B"/>
    <w:rPr>
      <w:sz w:val="20"/>
      <w:szCs w:val="20"/>
    </w:rPr>
  </w:style>
  <w:style w:type="paragraph" w:styleId="CommentSubject">
    <w:name w:val="annotation subject"/>
    <w:basedOn w:val="CommentText"/>
    <w:next w:val="CommentText"/>
    <w:link w:val="CommentSubjectChar"/>
    <w:uiPriority w:val="99"/>
    <w:semiHidden/>
    <w:unhideWhenUsed/>
    <w:rsid w:val="0085037B"/>
    <w:rPr>
      <w:b/>
      <w:bCs/>
    </w:rPr>
  </w:style>
  <w:style w:type="character" w:customStyle="1" w:styleId="CommentSubjectChar">
    <w:name w:val="Comment Subject Char"/>
    <w:basedOn w:val="CommentTextChar"/>
    <w:link w:val="CommentSubject"/>
    <w:uiPriority w:val="99"/>
    <w:semiHidden/>
    <w:rsid w:val="0085037B"/>
    <w:rPr>
      <w:b/>
      <w:bCs/>
      <w:sz w:val="20"/>
      <w:szCs w:val="20"/>
    </w:rPr>
  </w:style>
  <w:style w:type="paragraph" w:styleId="Revision">
    <w:name w:val="Revision"/>
    <w:hidden/>
    <w:uiPriority w:val="99"/>
    <w:semiHidden/>
    <w:rsid w:val="00742AC7"/>
    <w:pPr>
      <w:spacing w:after="0" w:line="240" w:lineRule="auto"/>
    </w:pPr>
  </w:style>
  <w:style w:type="character" w:styleId="Hyperlink">
    <w:name w:val="Hyperlink"/>
    <w:basedOn w:val="DefaultParagraphFont"/>
    <w:uiPriority w:val="99"/>
    <w:semiHidden/>
    <w:unhideWhenUsed/>
    <w:rsid w:val="00110D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77419">
      <w:bodyDiv w:val="1"/>
      <w:marLeft w:val="0"/>
      <w:marRight w:val="0"/>
      <w:marTop w:val="0"/>
      <w:marBottom w:val="0"/>
      <w:divBdr>
        <w:top w:val="none" w:sz="0" w:space="0" w:color="auto"/>
        <w:left w:val="none" w:sz="0" w:space="0" w:color="auto"/>
        <w:bottom w:val="none" w:sz="0" w:space="0" w:color="auto"/>
        <w:right w:val="none" w:sz="0" w:space="0" w:color="auto"/>
      </w:divBdr>
    </w:div>
    <w:div w:id="19925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practicallaw.thomsonreuters.com/Document/I135D9630E4A811DA9407CBB86AE37856/View/FullText.html?originationContext=document&amp;transitionType=DocumentItem&amp;contextData=(sc.Doc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9C164.D194F1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Thompson</dc:creator>
  <cp:keywords/>
  <dc:description/>
  <cp:lastModifiedBy>Louis Bebb</cp:lastModifiedBy>
  <cp:revision>3</cp:revision>
  <dcterms:created xsi:type="dcterms:W3CDTF">2024-02-15T08:11:00Z</dcterms:created>
  <dcterms:modified xsi:type="dcterms:W3CDTF">2024-02-15T08:11:00Z</dcterms:modified>
</cp:coreProperties>
</file>