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E62A" w14:textId="77777777" w:rsidR="00333F42" w:rsidRDefault="00333F42" w:rsidP="00333F42">
      <w:pPr>
        <w:pStyle w:val="Default"/>
      </w:pPr>
    </w:p>
    <w:p w14:paraId="71A7BCC3" w14:textId="62861645" w:rsidR="00333F42" w:rsidRDefault="00333F42" w:rsidP="00333F42">
      <w:pPr>
        <w:pStyle w:val="Default"/>
      </w:pPr>
    </w:p>
    <w:p w14:paraId="05718D1F" w14:textId="77777777" w:rsidR="0080539E" w:rsidRDefault="0080539E" w:rsidP="00333F42">
      <w:pPr>
        <w:pStyle w:val="Default"/>
      </w:pPr>
    </w:p>
    <w:p w14:paraId="703F8599" w14:textId="77777777" w:rsidR="0080539E" w:rsidRPr="0042381A" w:rsidRDefault="0080539E" w:rsidP="00333F42">
      <w:pPr>
        <w:pStyle w:val="Default"/>
        <w:rPr>
          <w:b/>
          <w:bCs/>
        </w:rPr>
      </w:pPr>
      <w:r w:rsidRPr="0042381A">
        <w:rPr>
          <w:b/>
          <w:bCs/>
        </w:rPr>
        <w:t>__________________________________________________________________________</w:t>
      </w:r>
    </w:p>
    <w:p w14:paraId="4FF52648" w14:textId="77777777" w:rsidR="00333F42" w:rsidRPr="0042381A" w:rsidRDefault="00333F42" w:rsidP="00333F42">
      <w:pPr>
        <w:pStyle w:val="Default"/>
      </w:pPr>
    </w:p>
    <w:p w14:paraId="0ACA80FC" w14:textId="32DDBE7B" w:rsidR="00333F42" w:rsidRPr="0042381A" w:rsidRDefault="0080539E" w:rsidP="00333F42">
      <w:pPr>
        <w:pStyle w:val="Default"/>
        <w:rPr>
          <w:rFonts w:ascii="Arial" w:hAnsi="Arial" w:cs="Arial"/>
          <w:b/>
          <w:bCs/>
          <w:color w:val="70AD47" w:themeColor="accent6"/>
          <w:sz w:val="32"/>
          <w:szCs w:val="32"/>
        </w:rPr>
      </w:pPr>
      <w:r w:rsidRPr="0042381A">
        <w:rPr>
          <w:rFonts w:ascii="Arial" w:hAnsi="Arial" w:cs="Arial"/>
          <w:b/>
          <w:bCs/>
          <w:color w:val="70AD47" w:themeColor="accent6"/>
          <w:sz w:val="32"/>
          <w:szCs w:val="32"/>
        </w:rPr>
        <w:t>Data Opt</w:t>
      </w:r>
      <w:r w:rsidR="00C14D25" w:rsidRPr="0042381A">
        <w:rPr>
          <w:rFonts w:ascii="Arial" w:hAnsi="Arial" w:cs="Arial"/>
          <w:b/>
          <w:bCs/>
          <w:color w:val="70AD47" w:themeColor="accent6"/>
          <w:sz w:val="32"/>
          <w:szCs w:val="32"/>
        </w:rPr>
        <w:t>-</w:t>
      </w:r>
      <w:r w:rsidRPr="0042381A">
        <w:rPr>
          <w:rFonts w:ascii="Arial" w:hAnsi="Arial" w:cs="Arial"/>
          <w:b/>
          <w:bCs/>
          <w:color w:val="70AD47" w:themeColor="accent6"/>
          <w:sz w:val="32"/>
          <w:szCs w:val="32"/>
        </w:rPr>
        <w:t xml:space="preserve">Out Policy and Guidance </w:t>
      </w:r>
    </w:p>
    <w:p w14:paraId="74350B38" w14:textId="7E527A3E" w:rsidR="0080539E" w:rsidRPr="0042381A" w:rsidRDefault="0080539E" w:rsidP="00333F42">
      <w:pPr>
        <w:pStyle w:val="Default"/>
        <w:rPr>
          <w:b/>
          <w:bCs/>
        </w:rPr>
      </w:pPr>
      <w:r w:rsidRPr="0042381A">
        <w:rPr>
          <w:b/>
          <w:bCs/>
        </w:rPr>
        <w:t>__________________________________________________________________________</w:t>
      </w:r>
    </w:p>
    <w:p w14:paraId="31FC5623" w14:textId="77777777" w:rsidR="0080539E" w:rsidRPr="0042381A" w:rsidRDefault="0080539E" w:rsidP="00333F42">
      <w:pPr>
        <w:pStyle w:val="Default"/>
      </w:pPr>
    </w:p>
    <w:p w14:paraId="38813AAE" w14:textId="55003D0D" w:rsidR="00333F42" w:rsidRPr="0042381A" w:rsidRDefault="00333F42" w:rsidP="00333F42">
      <w:pPr>
        <w:pStyle w:val="Default"/>
        <w:rPr>
          <w:b/>
          <w:bCs/>
          <w:color w:val="528135"/>
          <w:sz w:val="28"/>
          <w:szCs w:val="28"/>
        </w:rPr>
      </w:pPr>
      <w:r w:rsidRPr="0042381A">
        <w:rPr>
          <w:rFonts w:ascii="Arial" w:hAnsi="Arial" w:cs="Arial"/>
          <w:b/>
          <w:bCs/>
          <w:color w:val="528135"/>
          <w:sz w:val="28"/>
          <w:szCs w:val="28"/>
        </w:rPr>
        <w:t>Introduction</w:t>
      </w:r>
      <w:r w:rsidRPr="0042381A">
        <w:rPr>
          <w:b/>
          <w:bCs/>
          <w:color w:val="528135"/>
          <w:sz w:val="28"/>
          <w:szCs w:val="28"/>
        </w:rPr>
        <w:t xml:space="preserve"> </w:t>
      </w:r>
    </w:p>
    <w:p w14:paraId="50B5075E" w14:textId="77777777" w:rsidR="00333F42" w:rsidRPr="0042381A" w:rsidRDefault="00333F42" w:rsidP="00333F42">
      <w:pPr>
        <w:pStyle w:val="Default"/>
        <w:rPr>
          <w:b/>
          <w:bCs/>
          <w:color w:val="528135"/>
          <w:sz w:val="28"/>
          <w:szCs w:val="28"/>
        </w:rPr>
      </w:pPr>
    </w:p>
    <w:p w14:paraId="4BE8790A" w14:textId="293210CD" w:rsidR="00333F42" w:rsidRPr="0042381A" w:rsidRDefault="00333F42" w:rsidP="00333F42">
      <w:pPr>
        <w:pStyle w:val="Default"/>
        <w:rPr>
          <w:b/>
          <w:bCs/>
          <w:color w:val="528135"/>
          <w:sz w:val="28"/>
          <w:szCs w:val="28"/>
        </w:rPr>
      </w:pPr>
      <w:r w:rsidRPr="0042381A">
        <w:rPr>
          <w:b/>
          <w:bCs/>
          <w:color w:val="528135"/>
          <w:sz w:val="28"/>
          <w:szCs w:val="28"/>
        </w:rPr>
        <w:t>Data Opt</w:t>
      </w:r>
      <w:r w:rsidR="00C14D25" w:rsidRPr="0042381A">
        <w:rPr>
          <w:b/>
          <w:bCs/>
          <w:color w:val="528135"/>
          <w:sz w:val="28"/>
          <w:szCs w:val="28"/>
        </w:rPr>
        <w:t>-</w:t>
      </w:r>
      <w:r w:rsidRPr="0042381A">
        <w:rPr>
          <w:b/>
          <w:bCs/>
          <w:color w:val="528135"/>
          <w:sz w:val="28"/>
          <w:szCs w:val="28"/>
        </w:rPr>
        <w:t xml:space="preserve">Out </w:t>
      </w:r>
    </w:p>
    <w:p w14:paraId="307850F2" w14:textId="77777777" w:rsidR="0080539E" w:rsidRPr="0042381A" w:rsidRDefault="0080539E" w:rsidP="00333F42">
      <w:pPr>
        <w:pStyle w:val="Default"/>
        <w:rPr>
          <w:color w:val="528135"/>
          <w:sz w:val="28"/>
          <w:szCs w:val="28"/>
        </w:rPr>
      </w:pPr>
    </w:p>
    <w:p w14:paraId="2B1760F3" w14:textId="46F8AC58" w:rsidR="00B92C67" w:rsidRDefault="00333F42" w:rsidP="00333F42">
      <w:pPr>
        <w:rPr>
          <w:sz w:val="28"/>
          <w:szCs w:val="28"/>
        </w:rPr>
      </w:pPr>
      <w:r w:rsidRPr="0042381A">
        <w:rPr>
          <w:sz w:val="28"/>
          <w:szCs w:val="28"/>
        </w:rPr>
        <w:t xml:space="preserve">The </w:t>
      </w:r>
      <w:r w:rsidR="00B92C67">
        <w:rPr>
          <w:sz w:val="28"/>
          <w:szCs w:val="28"/>
        </w:rPr>
        <w:t>N</w:t>
      </w:r>
      <w:r w:rsidRPr="0042381A">
        <w:rPr>
          <w:sz w:val="28"/>
          <w:szCs w:val="28"/>
        </w:rPr>
        <w:t>ational Data Opt</w:t>
      </w:r>
      <w:r w:rsidR="00C14D25" w:rsidRPr="0042381A">
        <w:rPr>
          <w:sz w:val="28"/>
          <w:szCs w:val="28"/>
        </w:rPr>
        <w:t>-</w:t>
      </w:r>
      <w:r w:rsidRPr="0042381A">
        <w:rPr>
          <w:sz w:val="28"/>
          <w:szCs w:val="28"/>
        </w:rPr>
        <w:t xml:space="preserve">Out applies to the disclosure of </w:t>
      </w:r>
      <w:r w:rsidR="00B92C67">
        <w:rPr>
          <w:sz w:val="28"/>
          <w:szCs w:val="28"/>
        </w:rPr>
        <w:t>C</w:t>
      </w:r>
      <w:r w:rsidRPr="0042381A">
        <w:rPr>
          <w:sz w:val="28"/>
          <w:szCs w:val="28"/>
        </w:rPr>
        <w:t>onfidential</w:t>
      </w:r>
      <w:r w:rsidR="00B92C67">
        <w:rPr>
          <w:sz w:val="28"/>
          <w:szCs w:val="28"/>
        </w:rPr>
        <w:t xml:space="preserve"> Patient</w:t>
      </w:r>
      <w:r w:rsidRPr="0042381A">
        <w:rPr>
          <w:sz w:val="28"/>
          <w:szCs w:val="28"/>
        </w:rPr>
        <w:t xml:space="preserve"> </w:t>
      </w:r>
      <w:r w:rsidR="00B92C67">
        <w:rPr>
          <w:sz w:val="28"/>
          <w:szCs w:val="28"/>
        </w:rPr>
        <w:t>I</w:t>
      </w:r>
      <w:r w:rsidRPr="0042381A">
        <w:rPr>
          <w:sz w:val="28"/>
          <w:szCs w:val="28"/>
        </w:rPr>
        <w:t xml:space="preserve">nformation </w:t>
      </w:r>
      <w:r w:rsidR="00B92C67">
        <w:rPr>
          <w:sz w:val="28"/>
          <w:szCs w:val="28"/>
        </w:rPr>
        <w:t xml:space="preserve">(“CPI”) </w:t>
      </w:r>
      <w:r w:rsidRPr="0042381A">
        <w:rPr>
          <w:sz w:val="28"/>
          <w:szCs w:val="28"/>
        </w:rPr>
        <w:t xml:space="preserve">for the </w:t>
      </w:r>
      <w:r w:rsidR="007404CF" w:rsidRPr="0042381A">
        <w:rPr>
          <w:sz w:val="28"/>
          <w:szCs w:val="28"/>
        </w:rPr>
        <w:t>p</w:t>
      </w:r>
      <w:r w:rsidRPr="0042381A">
        <w:rPr>
          <w:sz w:val="28"/>
          <w:szCs w:val="28"/>
        </w:rPr>
        <w:t>urposes beyond individual care across health a</w:t>
      </w:r>
      <w:r w:rsidR="00B92C67">
        <w:rPr>
          <w:sz w:val="28"/>
          <w:szCs w:val="28"/>
        </w:rPr>
        <w:t>n</w:t>
      </w:r>
      <w:r w:rsidRPr="0042381A">
        <w:rPr>
          <w:sz w:val="28"/>
          <w:szCs w:val="28"/>
        </w:rPr>
        <w:t>d adult social care system</w:t>
      </w:r>
      <w:r w:rsidR="00B92C67">
        <w:rPr>
          <w:sz w:val="28"/>
          <w:szCs w:val="28"/>
        </w:rPr>
        <w:t>s</w:t>
      </w:r>
      <w:r w:rsidRPr="0042381A">
        <w:rPr>
          <w:sz w:val="28"/>
          <w:szCs w:val="28"/>
        </w:rPr>
        <w:t xml:space="preserve"> </w:t>
      </w:r>
      <w:r w:rsidR="0042381A" w:rsidRPr="0042381A">
        <w:rPr>
          <w:sz w:val="28"/>
          <w:szCs w:val="28"/>
        </w:rPr>
        <w:t>i</w:t>
      </w:r>
      <w:r w:rsidRPr="0042381A">
        <w:rPr>
          <w:sz w:val="28"/>
          <w:szCs w:val="28"/>
        </w:rPr>
        <w:t xml:space="preserve">n England. </w:t>
      </w:r>
    </w:p>
    <w:p w14:paraId="6F74F8A7" w14:textId="569E4CE4" w:rsidR="00B92C67" w:rsidRPr="00D6420C" w:rsidRDefault="00B92C67" w:rsidP="00B92C67">
      <w:pPr>
        <w:pStyle w:val="nhsd-t-body"/>
        <w:rPr>
          <w:rFonts w:ascii="Arial" w:hAnsi="Arial" w:cs="Arial"/>
          <w:iCs/>
          <w:color w:val="3F525F"/>
          <w:sz w:val="27"/>
          <w:szCs w:val="27"/>
        </w:rPr>
      </w:pPr>
      <w:r w:rsidRPr="00D6420C">
        <w:rPr>
          <w:rFonts w:ascii="Arial" w:hAnsi="Arial" w:cs="Arial"/>
          <w:iCs/>
          <w:color w:val="3F525F"/>
          <w:sz w:val="27"/>
          <w:szCs w:val="27"/>
        </w:rPr>
        <w:t>National data opt-outs apply to a disclosure when an organisation such as a research body confirms they have obtained an approval from the </w:t>
      </w:r>
      <w:hyperlink r:id="rId7" w:history="1">
        <w:r w:rsidRPr="00D6420C">
          <w:rPr>
            <w:rStyle w:val="Hyperlink"/>
            <w:rFonts w:ascii="Arial" w:hAnsi="Arial" w:cs="Arial"/>
            <w:iCs/>
            <w:color w:val="005BBB"/>
            <w:sz w:val="27"/>
            <w:szCs w:val="27"/>
            <w:u w:val="none"/>
          </w:rPr>
          <w:t>Confidentiality Advisory Group</w:t>
        </w:r>
      </w:hyperlink>
      <w:r w:rsidRPr="00D6420C">
        <w:rPr>
          <w:rFonts w:ascii="Arial" w:hAnsi="Arial" w:cs="Arial"/>
          <w:iCs/>
          <w:color w:val="3F525F"/>
          <w:sz w:val="27"/>
          <w:szCs w:val="27"/>
        </w:rPr>
        <w:t> (CAG) for the disclosure of CPI held by another organisation responsible for the data (the data provider) such as an NHS Trust</w:t>
      </w:r>
      <w:r>
        <w:rPr>
          <w:rFonts w:ascii="Arial" w:hAnsi="Arial" w:cs="Arial"/>
          <w:iCs/>
          <w:color w:val="3F525F"/>
          <w:sz w:val="27"/>
          <w:szCs w:val="27"/>
        </w:rPr>
        <w:t xml:space="preserve"> or a Local Authority</w:t>
      </w:r>
      <w:r w:rsidRPr="00D6420C">
        <w:rPr>
          <w:rFonts w:ascii="Arial" w:hAnsi="Arial" w:cs="Arial"/>
          <w:iCs/>
          <w:color w:val="3F525F"/>
          <w:sz w:val="27"/>
          <w:szCs w:val="27"/>
        </w:rPr>
        <w:t>.</w:t>
      </w:r>
    </w:p>
    <w:p w14:paraId="75741307" w14:textId="38AAA221" w:rsidR="00B92C67" w:rsidRPr="00D6420C" w:rsidRDefault="00B92C67" w:rsidP="00B92C67">
      <w:pPr>
        <w:spacing w:before="100" w:beforeAutospacing="1" w:after="100" w:afterAutospacing="1"/>
        <w:rPr>
          <w:rFonts w:ascii="Arial" w:hAnsi="Arial" w:cs="Arial"/>
          <w:iCs/>
          <w:color w:val="3F525F"/>
          <w:sz w:val="27"/>
          <w:szCs w:val="27"/>
        </w:rPr>
      </w:pPr>
      <w:r w:rsidRPr="00D6420C">
        <w:rPr>
          <w:rFonts w:ascii="Arial" w:hAnsi="Arial" w:cs="Arial"/>
          <w:iCs/>
          <w:color w:val="3F525F"/>
          <w:sz w:val="27"/>
          <w:szCs w:val="27"/>
        </w:rPr>
        <w:t>A CAG approval is an approval made under section 251 of the NHS Act 2006 and its current regulations, the Health Service (Control of Patient Information) Regulations 2002</w:t>
      </w:r>
      <w:r>
        <w:rPr>
          <w:rFonts w:ascii="Arial" w:hAnsi="Arial" w:cs="Arial"/>
          <w:iCs/>
          <w:color w:val="3F525F"/>
          <w:sz w:val="27"/>
          <w:szCs w:val="27"/>
        </w:rPr>
        <w:t>,</w:t>
      </w:r>
      <w:r w:rsidRPr="00D6420C">
        <w:rPr>
          <w:rFonts w:ascii="Arial" w:hAnsi="Arial" w:cs="Arial"/>
          <w:iCs/>
          <w:color w:val="3F525F"/>
          <w:sz w:val="27"/>
          <w:szCs w:val="27"/>
        </w:rPr>
        <w:t xml:space="preserve"> which enable the common law duty of confidentiality to be temporarily lifted so that CPI can be disclosed without the data provider being in breach of the common law duty of confidentiality. In practice, this means that the person responsible for the information (data provider) can, if they wish, disclose the information to the data applicant e.g. research body without being in breach of the common law duty of confidentiality.</w:t>
      </w:r>
    </w:p>
    <w:p w14:paraId="1CB9F230" w14:textId="77777777" w:rsidR="00B92C67" w:rsidRPr="00D6420C" w:rsidRDefault="00B92C67" w:rsidP="00B92C67">
      <w:pPr>
        <w:spacing w:before="100" w:beforeAutospacing="1" w:after="100" w:afterAutospacing="1"/>
        <w:rPr>
          <w:rFonts w:ascii="Arial" w:hAnsi="Arial" w:cs="Arial"/>
          <w:iCs/>
          <w:color w:val="3F525F"/>
          <w:sz w:val="27"/>
          <w:szCs w:val="27"/>
        </w:rPr>
      </w:pPr>
      <w:r w:rsidRPr="00D6420C">
        <w:rPr>
          <w:rFonts w:ascii="Arial" w:hAnsi="Arial" w:cs="Arial"/>
          <w:iCs/>
          <w:color w:val="3F525F"/>
          <w:sz w:val="27"/>
          <w:szCs w:val="27"/>
        </w:rPr>
        <w:t>It is only when a section 251 is relied on to obtain CPI that national data opt-outs apply. National data opt-outs do not apply where information being disclosed is anonymised in accordance with the Information Commissioner’s Office (ICO) anonymisation code of practice or the individual has given their consent for their information to be used for a particular purpose, for example a specific research study.</w:t>
      </w:r>
    </w:p>
    <w:p w14:paraId="248CD7AF" w14:textId="09CCAF6B" w:rsidR="00B92C67" w:rsidRPr="00D6420C" w:rsidRDefault="00000963" w:rsidP="00B92C67">
      <w:pPr>
        <w:spacing w:before="100" w:beforeAutospacing="1" w:after="100" w:afterAutospacing="1"/>
        <w:rPr>
          <w:rFonts w:ascii="Arial" w:hAnsi="Arial" w:cs="Arial"/>
          <w:iCs/>
          <w:color w:val="3F525F"/>
          <w:sz w:val="27"/>
          <w:szCs w:val="27"/>
        </w:rPr>
      </w:pPr>
      <w:r w:rsidRPr="00000963">
        <w:rPr>
          <w:rFonts w:ascii="Arial" w:hAnsi="Arial" w:cs="Arial"/>
          <w:iCs/>
          <w:color w:val="3F525F"/>
          <w:sz w:val="27"/>
          <w:szCs w:val="27"/>
        </w:rPr>
        <w:t xml:space="preserve">Where a patient has set a National </w:t>
      </w:r>
      <w:r>
        <w:rPr>
          <w:rFonts w:ascii="Arial" w:hAnsi="Arial" w:cs="Arial"/>
          <w:iCs/>
          <w:color w:val="3F525F"/>
          <w:sz w:val="27"/>
          <w:szCs w:val="27"/>
        </w:rPr>
        <w:t>D</w:t>
      </w:r>
      <w:r w:rsidRPr="00000963">
        <w:rPr>
          <w:rFonts w:ascii="Arial" w:hAnsi="Arial" w:cs="Arial"/>
          <w:iCs/>
          <w:color w:val="3F525F"/>
          <w:sz w:val="27"/>
          <w:szCs w:val="27"/>
        </w:rPr>
        <w:t>ata Opt-O</w:t>
      </w:r>
      <w:r w:rsidR="00B92C67" w:rsidRPr="00D6420C">
        <w:rPr>
          <w:rFonts w:ascii="Arial" w:hAnsi="Arial" w:cs="Arial"/>
          <w:iCs/>
          <w:color w:val="3F525F"/>
          <w:sz w:val="27"/>
          <w:szCs w:val="27"/>
        </w:rPr>
        <w:t xml:space="preserve">ut it does not stop that patient from giving their consent for a specific use of their data. It is important that patients continue to be offered the opportunity to participate in medical research studies, provided this is done in a way that does not </w:t>
      </w:r>
      <w:r w:rsidR="00B92C67" w:rsidRPr="00D6420C">
        <w:rPr>
          <w:rFonts w:ascii="Arial" w:hAnsi="Arial" w:cs="Arial"/>
          <w:iCs/>
          <w:color w:val="3F525F"/>
          <w:sz w:val="27"/>
          <w:szCs w:val="27"/>
        </w:rPr>
        <w:lastRenderedPageBreak/>
        <w:t>breach their confidentiality, i.e. it addresses the Common Law Duty of Confidentiality.</w:t>
      </w:r>
    </w:p>
    <w:p w14:paraId="12C6255D" w14:textId="77824D3A" w:rsidR="00F12274" w:rsidRPr="0042381A" w:rsidRDefault="00333F42" w:rsidP="00333F42">
      <w:pPr>
        <w:rPr>
          <w:sz w:val="28"/>
          <w:szCs w:val="28"/>
        </w:rPr>
      </w:pPr>
      <w:r w:rsidRPr="0042381A">
        <w:rPr>
          <w:sz w:val="28"/>
          <w:szCs w:val="28"/>
        </w:rPr>
        <w:t>Th</w:t>
      </w:r>
      <w:r w:rsidR="007404CF" w:rsidRPr="0042381A">
        <w:rPr>
          <w:sz w:val="28"/>
          <w:szCs w:val="28"/>
        </w:rPr>
        <w:t>i</w:t>
      </w:r>
      <w:r w:rsidRPr="0042381A">
        <w:rPr>
          <w:sz w:val="28"/>
          <w:szCs w:val="28"/>
        </w:rPr>
        <w:t xml:space="preserve">s document provides operational guidance to understand the application of </w:t>
      </w:r>
      <w:r w:rsidR="00000963">
        <w:rPr>
          <w:sz w:val="28"/>
          <w:szCs w:val="28"/>
        </w:rPr>
        <w:t>N</w:t>
      </w:r>
      <w:r w:rsidRPr="0042381A">
        <w:rPr>
          <w:sz w:val="28"/>
          <w:szCs w:val="28"/>
        </w:rPr>
        <w:t xml:space="preserve">ational </w:t>
      </w:r>
      <w:r w:rsidR="00000963">
        <w:rPr>
          <w:sz w:val="28"/>
          <w:szCs w:val="28"/>
        </w:rPr>
        <w:t>D</w:t>
      </w:r>
      <w:r w:rsidRPr="0042381A">
        <w:rPr>
          <w:sz w:val="28"/>
          <w:szCs w:val="28"/>
        </w:rPr>
        <w:t xml:space="preserve">ata </w:t>
      </w:r>
      <w:r w:rsidR="00C14D25" w:rsidRPr="0042381A">
        <w:rPr>
          <w:sz w:val="28"/>
          <w:szCs w:val="28"/>
        </w:rPr>
        <w:t>Opt-Out</w:t>
      </w:r>
      <w:r w:rsidRPr="0042381A">
        <w:rPr>
          <w:sz w:val="28"/>
          <w:szCs w:val="28"/>
        </w:rPr>
        <w:t xml:space="preserve"> </w:t>
      </w:r>
      <w:r w:rsidR="0080539E" w:rsidRPr="0042381A">
        <w:rPr>
          <w:sz w:val="28"/>
          <w:szCs w:val="28"/>
        </w:rPr>
        <w:t>policy for</w:t>
      </w:r>
      <w:r w:rsidRPr="0042381A">
        <w:rPr>
          <w:sz w:val="28"/>
          <w:szCs w:val="28"/>
        </w:rPr>
        <w:t xml:space="preserve"> practical purposes</w:t>
      </w:r>
      <w:r w:rsidR="007404CF" w:rsidRPr="0042381A">
        <w:rPr>
          <w:sz w:val="28"/>
          <w:szCs w:val="28"/>
        </w:rPr>
        <w:t>.</w:t>
      </w:r>
    </w:p>
    <w:p w14:paraId="0C66A2A8" w14:textId="0C7260F5" w:rsidR="007404CF" w:rsidRPr="0042381A" w:rsidRDefault="007404CF" w:rsidP="007404CF">
      <w:pPr>
        <w:rPr>
          <w:sz w:val="28"/>
          <w:szCs w:val="28"/>
        </w:rPr>
      </w:pPr>
      <w:r w:rsidRPr="0042381A">
        <w:rPr>
          <w:sz w:val="28"/>
          <w:szCs w:val="28"/>
        </w:rPr>
        <w:t xml:space="preserve">People who use health and social services </w:t>
      </w:r>
      <w:r w:rsidR="009C2799" w:rsidRPr="0042381A">
        <w:rPr>
          <w:sz w:val="28"/>
          <w:szCs w:val="28"/>
        </w:rPr>
        <w:t>can</w:t>
      </w:r>
      <w:r w:rsidRPr="0042381A">
        <w:rPr>
          <w:sz w:val="28"/>
          <w:szCs w:val="28"/>
        </w:rPr>
        <w:t xml:space="preserve"> set an </w:t>
      </w:r>
      <w:r w:rsidR="00C14D25" w:rsidRPr="0042381A">
        <w:rPr>
          <w:sz w:val="28"/>
          <w:szCs w:val="28"/>
        </w:rPr>
        <w:t>Opt-Out</w:t>
      </w:r>
      <w:r w:rsidRPr="0042381A">
        <w:rPr>
          <w:sz w:val="28"/>
          <w:szCs w:val="28"/>
        </w:rPr>
        <w:t xml:space="preserve"> via </w:t>
      </w:r>
      <w:r w:rsidR="00C14D25" w:rsidRPr="0042381A">
        <w:rPr>
          <w:sz w:val="28"/>
          <w:szCs w:val="28"/>
        </w:rPr>
        <w:t>several</w:t>
      </w:r>
      <w:r w:rsidRPr="0042381A">
        <w:rPr>
          <w:sz w:val="28"/>
          <w:szCs w:val="28"/>
        </w:rPr>
        <w:t xml:space="preserve"> channels that include online, digitally </w:t>
      </w:r>
      <w:r w:rsidR="009C2799" w:rsidRPr="0042381A">
        <w:rPr>
          <w:sz w:val="28"/>
          <w:szCs w:val="28"/>
        </w:rPr>
        <w:t>assisted</w:t>
      </w:r>
      <w:r w:rsidRPr="0042381A">
        <w:rPr>
          <w:sz w:val="28"/>
          <w:szCs w:val="28"/>
        </w:rPr>
        <w:t xml:space="preserve"> and </w:t>
      </w:r>
      <w:r w:rsidR="009C2799" w:rsidRPr="0042381A">
        <w:rPr>
          <w:sz w:val="28"/>
          <w:szCs w:val="28"/>
        </w:rPr>
        <w:t>non-digitally</w:t>
      </w:r>
      <w:r w:rsidRPr="0042381A">
        <w:rPr>
          <w:sz w:val="28"/>
          <w:szCs w:val="28"/>
        </w:rPr>
        <w:t xml:space="preserve"> assisted channels</w:t>
      </w:r>
      <w:r w:rsidR="00000963">
        <w:rPr>
          <w:sz w:val="28"/>
          <w:szCs w:val="28"/>
        </w:rPr>
        <w:t>.</w:t>
      </w:r>
    </w:p>
    <w:p w14:paraId="587AD1A9" w14:textId="660CF652" w:rsidR="003F7091" w:rsidRPr="0042381A" w:rsidRDefault="007404CF" w:rsidP="007404CF">
      <w:pPr>
        <w:rPr>
          <w:sz w:val="28"/>
          <w:szCs w:val="28"/>
        </w:rPr>
      </w:pPr>
      <w:r w:rsidRPr="0042381A">
        <w:rPr>
          <w:sz w:val="28"/>
          <w:szCs w:val="28"/>
        </w:rPr>
        <w:t xml:space="preserve">Any </w:t>
      </w:r>
      <w:r w:rsidR="009C2799" w:rsidRPr="0042381A">
        <w:rPr>
          <w:sz w:val="28"/>
          <w:szCs w:val="28"/>
        </w:rPr>
        <w:t>person</w:t>
      </w:r>
      <w:r w:rsidRPr="0042381A">
        <w:rPr>
          <w:sz w:val="28"/>
          <w:szCs w:val="28"/>
        </w:rPr>
        <w:t xml:space="preserve"> who uses health and social services and has an NHS number </w:t>
      </w:r>
      <w:proofErr w:type="gramStart"/>
      <w:r w:rsidRPr="0042381A">
        <w:rPr>
          <w:sz w:val="28"/>
          <w:szCs w:val="28"/>
        </w:rPr>
        <w:t>is able to</w:t>
      </w:r>
      <w:proofErr w:type="gramEnd"/>
      <w:r w:rsidRPr="0042381A">
        <w:rPr>
          <w:sz w:val="28"/>
          <w:szCs w:val="28"/>
        </w:rPr>
        <w:t xml:space="preserve"> set </w:t>
      </w:r>
      <w:r w:rsidR="009C2799" w:rsidRPr="0042381A">
        <w:rPr>
          <w:sz w:val="28"/>
          <w:szCs w:val="28"/>
        </w:rPr>
        <w:t>a</w:t>
      </w:r>
      <w:r w:rsidRPr="0042381A">
        <w:rPr>
          <w:sz w:val="28"/>
          <w:szCs w:val="28"/>
        </w:rPr>
        <w:t xml:space="preserve"> National Data Opt</w:t>
      </w:r>
      <w:r w:rsidR="00C14D25" w:rsidRPr="0042381A">
        <w:rPr>
          <w:sz w:val="28"/>
          <w:szCs w:val="28"/>
        </w:rPr>
        <w:t>-</w:t>
      </w:r>
      <w:r w:rsidRPr="0042381A">
        <w:rPr>
          <w:sz w:val="28"/>
          <w:szCs w:val="28"/>
        </w:rPr>
        <w:t>Out</w:t>
      </w:r>
      <w:r w:rsidR="009C2799" w:rsidRPr="0042381A">
        <w:rPr>
          <w:sz w:val="28"/>
          <w:szCs w:val="28"/>
        </w:rPr>
        <w:t>.</w:t>
      </w:r>
      <w:r w:rsidRPr="0042381A">
        <w:rPr>
          <w:sz w:val="28"/>
          <w:szCs w:val="28"/>
        </w:rPr>
        <w:t xml:space="preserve"> The </w:t>
      </w:r>
      <w:r w:rsidR="00C14D25" w:rsidRPr="0042381A">
        <w:rPr>
          <w:sz w:val="28"/>
          <w:szCs w:val="28"/>
        </w:rPr>
        <w:t>Opt-Out</w:t>
      </w:r>
      <w:r w:rsidRPr="0042381A">
        <w:rPr>
          <w:sz w:val="28"/>
          <w:szCs w:val="28"/>
        </w:rPr>
        <w:t xml:space="preserve"> is stored in a central repository against their NHS number on </w:t>
      </w:r>
      <w:r w:rsidR="009C2799" w:rsidRPr="0042381A">
        <w:rPr>
          <w:sz w:val="28"/>
          <w:szCs w:val="28"/>
        </w:rPr>
        <w:t>the</w:t>
      </w:r>
      <w:r w:rsidRPr="0042381A">
        <w:rPr>
          <w:sz w:val="28"/>
          <w:szCs w:val="28"/>
        </w:rPr>
        <w:t xml:space="preserve"> NHS Spine and is not set or visible at practice level. The National Data Opt</w:t>
      </w:r>
      <w:r w:rsidR="00C14D25" w:rsidRPr="0042381A">
        <w:rPr>
          <w:sz w:val="28"/>
          <w:szCs w:val="28"/>
        </w:rPr>
        <w:t>-Out</w:t>
      </w:r>
      <w:r w:rsidRPr="0042381A">
        <w:rPr>
          <w:sz w:val="28"/>
          <w:szCs w:val="28"/>
        </w:rPr>
        <w:t xml:space="preserve"> will also continue after the </w:t>
      </w:r>
      <w:r w:rsidR="009C2799" w:rsidRPr="0042381A">
        <w:rPr>
          <w:sz w:val="28"/>
          <w:szCs w:val="28"/>
        </w:rPr>
        <w:t>patient’s</w:t>
      </w:r>
      <w:r w:rsidRPr="0042381A">
        <w:rPr>
          <w:sz w:val="28"/>
          <w:szCs w:val="28"/>
        </w:rPr>
        <w:t xml:space="preserve"> death</w:t>
      </w:r>
      <w:r w:rsidR="003F7091" w:rsidRPr="0042381A">
        <w:rPr>
          <w:sz w:val="28"/>
          <w:szCs w:val="28"/>
        </w:rPr>
        <w:t>.</w:t>
      </w:r>
    </w:p>
    <w:p w14:paraId="7ACA16EF" w14:textId="49B09E69" w:rsidR="003F7091" w:rsidRPr="0042381A" w:rsidRDefault="003F7091" w:rsidP="007404CF">
      <w:pPr>
        <w:rPr>
          <w:sz w:val="28"/>
          <w:szCs w:val="28"/>
        </w:rPr>
      </w:pPr>
      <w:r w:rsidRPr="0042381A">
        <w:rPr>
          <w:sz w:val="28"/>
          <w:szCs w:val="28"/>
        </w:rPr>
        <w:t xml:space="preserve">Sandwell Council is compliant with the </w:t>
      </w:r>
      <w:r w:rsidR="00C14D25" w:rsidRPr="0042381A">
        <w:rPr>
          <w:sz w:val="28"/>
          <w:szCs w:val="28"/>
        </w:rPr>
        <w:t>Opt-Out</w:t>
      </w:r>
      <w:r w:rsidRPr="0042381A">
        <w:rPr>
          <w:sz w:val="28"/>
          <w:szCs w:val="28"/>
        </w:rPr>
        <w:t xml:space="preserve"> in line with the Council</w:t>
      </w:r>
      <w:r w:rsidR="00000963">
        <w:rPr>
          <w:sz w:val="28"/>
          <w:szCs w:val="28"/>
        </w:rPr>
        <w:t>’</w:t>
      </w:r>
      <w:r w:rsidRPr="0042381A">
        <w:rPr>
          <w:sz w:val="28"/>
          <w:szCs w:val="28"/>
        </w:rPr>
        <w:t xml:space="preserve">s Data Security and Protection </w:t>
      </w:r>
      <w:r w:rsidR="00D6420C">
        <w:rPr>
          <w:sz w:val="28"/>
          <w:szCs w:val="28"/>
        </w:rPr>
        <w:t>toolkit</w:t>
      </w:r>
      <w:r w:rsidRPr="0042381A">
        <w:rPr>
          <w:sz w:val="28"/>
          <w:szCs w:val="28"/>
        </w:rPr>
        <w:t>.</w:t>
      </w:r>
    </w:p>
    <w:p w14:paraId="35DEC729" w14:textId="77777777" w:rsidR="007404CF" w:rsidRPr="0042381A" w:rsidRDefault="007404CF" w:rsidP="007404CF">
      <w:pPr>
        <w:rPr>
          <w:sz w:val="28"/>
          <w:szCs w:val="28"/>
        </w:rPr>
      </w:pPr>
      <w:r w:rsidRPr="0042381A">
        <w:rPr>
          <w:sz w:val="28"/>
          <w:szCs w:val="28"/>
        </w:rPr>
        <w:t xml:space="preserve"> </w:t>
      </w:r>
    </w:p>
    <w:p w14:paraId="3E8B3EF2" w14:textId="2F1FCA37" w:rsidR="003F7091" w:rsidRPr="0042381A" w:rsidRDefault="003F7091" w:rsidP="007404CF">
      <w:pPr>
        <w:rPr>
          <w:b/>
          <w:bCs/>
          <w:color w:val="70AD47" w:themeColor="accent6"/>
          <w:sz w:val="28"/>
          <w:szCs w:val="28"/>
        </w:rPr>
      </w:pPr>
      <w:r w:rsidRPr="0042381A">
        <w:rPr>
          <w:b/>
          <w:bCs/>
          <w:color w:val="70AD47" w:themeColor="accent6"/>
          <w:sz w:val="28"/>
          <w:szCs w:val="28"/>
        </w:rPr>
        <w:t xml:space="preserve">What are National Data </w:t>
      </w:r>
      <w:r w:rsidR="00C14D25" w:rsidRPr="0042381A">
        <w:rPr>
          <w:b/>
          <w:bCs/>
          <w:color w:val="70AD47" w:themeColor="accent6"/>
          <w:sz w:val="28"/>
          <w:szCs w:val="28"/>
        </w:rPr>
        <w:t>Opt-Out</w:t>
      </w:r>
      <w:r w:rsidRPr="0042381A">
        <w:rPr>
          <w:b/>
          <w:bCs/>
          <w:color w:val="70AD47" w:themeColor="accent6"/>
          <w:sz w:val="28"/>
          <w:szCs w:val="28"/>
        </w:rPr>
        <w:t xml:space="preserve">s </w:t>
      </w:r>
    </w:p>
    <w:p w14:paraId="7EFA9597" w14:textId="5CD9A4E0" w:rsidR="003F7091" w:rsidRPr="0042381A" w:rsidRDefault="009C2799" w:rsidP="007404CF">
      <w:pPr>
        <w:rPr>
          <w:sz w:val="28"/>
          <w:szCs w:val="28"/>
        </w:rPr>
      </w:pPr>
      <w:r w:rsidRPr="0042381A">
        <w:rPr>
          <w:sz w:val="28"/>
          <w:szCs w:val="28"/>
        </w:rPr>
        <w:t>Sandwell Council</w:t>
      </w:r>
      <w:r w:rsidR="003F7091" w:rsidRPr="0042381A">
        <w:rPr>
          <w:sz w:val="28"/>
          <w:szCs w:val="28"/>
        </w:rPr>
        <w:t xml:space="preserve"> follows the </w:t>
      </w:r>
      <w:r w:rsidR="00000963">
        <w:rPr>
          <w:sz w:val="28"/>
          <w:szCs w:val="28"/>
        </w:rPr>
        <w:t>D</w:t>
      </w:r>
      <w:r w:rsidR="003F7091" w:rsidRPr="0042381A">
        <w:rPr>
          <w:sz w:val="28"/>
          <w:szCs w:val="28"/>
        </w:rPr>
        <w:t xml:space="preserve">ata </w:t>
      </w:r>
      <w:r w:rsidR="00C14D25" w:rsidRPr="0042381A">
        <w:rPr>
          <w:sz w:val="28"/>
          <w:szCs w:val="28"/>
        </w:rPr>
        <w:t>Opt-Out</w:t>
      </w:r>
      <w:r w:rsidR="003F7091" w:rsidRPr="0042381A">
        <w:rPr>
          <w:sz w:val="28"/>
          <w:szCs w:val="28"/>
        </w:rPr>
        <w:t xml:space="preserve"> process implemented by the </w:t>
      </w:r>
      <w:hyperlink r:id="rId8" w:history="1">
        <w:r w:rsidR="003F7091" w:rsidRPr="00000963">
          <w:rPr>
            <w:rStyle w:val="Hyperlink"/>
            <w:sz w:val="28"/>
            <w:szCs w:val="28"/>
          </w:rPr>
          <w:t>National Data Guardian’s Revie</w:t>
        </w:r>
        <w:r w:rsidR="00000963" w:rsidRPr="00000963">
          <w:rPr>
            <w:rStyle w:val="Hyperlink"/>
            <w:sz w:val="28"/>
            <w:szCs w:val="28"/>
          </w:rPr>
          <w:t>w</w:t>
        </w:r>
        <w:r w:rsidR="003F7091" w:rsidRPr="00000963">
          <w:rPr>
            <w:rStyle w:val="Hyperlink"/>
            <w:sz w:val="28"/>
            <w:szCs w:val="28"/>
          </w:rPr>
          <w:t xml:space="preserve"> of Data Security, Consent and Opt</w:t>
        </w:r>
        <w:r w:rsidR="00C14D25" w:rsidRPr="00000963">
          <w:rPr>
            <w:rStyle w:val="Hyperlink"/>
            <w:sz w:val="28"/>
            <w:szCs w:val="28"/>
          </w:rPr>
          <w:t>-</w:t>
        </w:r>
        <w:r w:rsidR="003F7091" w:rsidRPr="00000963">
          <w:rPr>
            <w:rStyle w:val="Hyperlink"/>
            <w:sz w:val="28"/>
            <w:szCs w:val="28"/>
          </w:rPr>
          <w:t>Outs</w:t>
        </w:r>
      </w:hyperlink>
      <w:r w:rsidR="003F7091" w:rsidRPr="0042381A">
        <w:rPr>
          <w:sz w:val="28"/>
          <w:szCs w:val="28"/>
        </w:rPr>
        <w:t>.</w:t>
      </w:r>
    </w:p>
    <w:p w14:paraId="6E49AD3A" w14:textId="572A843F" w:rsidR="00D36BDA" w:rsidRPr="0042381A" w:rsidRDefault="003F7091" w:rsidP="007404CF">
      <w:pPr>
        <w:rPr>
          <w:sz w:val="28"/>
          <w:szCs w:val="28"/>
        </w:rPr>
      </w:pPr>
      <w:r w:rsidRPr="0042381A">
        <w:rPr>
          <w:sz w:val="28"/>
          <w:szCs w:val="28"/>
        </w:rPr>
        <w:t xml:space="preserve">The review stipulates that </w:t>
      </w:r>
      <w:r w:rsidR="009C2799" w:rsidRPr="0042381A">
        <w:rPr>
          <w:sz w:val="28"/>
          <w:szCs w:val="28"/>
        </w:rPr>
        <w:t>they</w:t>
      </w:r>
      <w:r w:rsidRPr="0042381A">
        <w:rPr>
          <w:sz w:val="28"/>
          <w:szCs w:val="28"/>
        </w:rPr>
        <w:t xml:space="preserve"> should be</w:t>
      </w:r>
    </w:p>
    <w:p w14:paraId="1B876F27" w14:textId="12102BDD" w:rsidR="00D36BDA" w:rsidRPr="0042381A" w:rsidRDefault="009C2799" w:rsidP="00D36BDA">
      <w:pPr>
        <w:pStyle w:val="ListParagraph"/>
        <w:numPr>
          <w:ilvl w:val="0"/>
          <w:numId w:val="5"/>
        </w:numPr>
        <w:rPr>
          <w:sz w:val="28"/>
          <w:szCs w:val="28"/>
        </w:rPr>
      </w:pPr>
      <w:r w:rsidRPr="0042381A">
        <w:rPr>
          <w:sz w:val="28"/>
          <w:szCs w:val="28"/>
        </w:rPr>
        <w:t>consent,</w:t>
      </w:r>
      <w:r w:rsidR="003F7091" w:rsidRPr="0042381A">
        <w:rPr>
          <w:sz w:val="28"/>
          <w:szCs w:val="28"/>
        </w:rPr>
        <w:t xml:space="preserve"> and </w:t>
      </w:r>
    </w:p>
    <w:p w14:paraId="35BFDFFE" w14:textId="2D4F3796" w:rsidR="003F7091" w:rsidRPr="0042381A" w:rsidRDefault="003F7091" w:rsidP="00D36BDA">
      <w:pPr>
        <w:pStyle w:val="ListParagraph"/>
        <w:numPr>
          <w:ilvl w:val="0"/>
          <w:numId w:val="5"/>
        </w:numPr>
        <w:rPr>
          <w:sz w:val="28"/>
          <w:szCs w:val="28"/>
        </w:rPr>
      </w:pPr>
      <w:r w:rsidRPr="0042381A">
        <w:rPr>
          <w:sz w:val="28"/>
          <w:szCs w:val="28"/>
        </w:rPr>
        <w:t xml:space="preserve">an </w:t>
      </w:r>
      <w:r w:rsidR="00C14D25" w:rsidRPr="0042381A">
        <w:rPr>
          <w:sz w:val="28"/>
          <w:szCs w:val="28"/>
        </w:rPr>
        <w:t>Opt-Out</w:t>
      </w:r>
      <w:r w:rsidRPr="0042381A">
        <w:rPr>
          <w:sz w:val="28"/>
          <w:szCs w:val="28"/>
        </w:rPr>
        <w:t xml:space="preserve"> model to</w:t>
      </w:r>
      <w:r w:rsidR="009C2799" w:rsidRPr="0042381A">
        <w:rPr>
          <w:sz w:val="28"/>
          <w:szCs w:val="28"/>
        </w:rPr>
        <w:t xml:space="preserve"> </w:t>
      </w:r>
      <w:r w:rsidRPr="0042381A">
        <w:rPr>
          <w:sz w:val="28"/>
          <w:szCs w:val="28"/>
        </w:rPr>
        <w:t xml:space="preserve">allow people to </w:t>
      </w:r>
      <w:r w:rsidR="00C14D25" w:rsidRPr="0042381A">
        <w:rPr>
          <w:sz w:val="28"/>
          <w:szCs w:val="28"/>
        </w:rPr>
        <w:t>Opt-Out</w:t>
      </w:r>
      <w:r w:rsidRPr="0042381A">
        <w:rPr>
          <w:sz w:val="28"/>
          <w:szCs w:val="28"/>
        </w:rPr>
        <w:t xml:space="preserve"> </w:t>
      </w:r>
      <w:r w:rsidR="00D36BDA" w:rsidRPr="0042381A">
        <w:rPr>
          <w:sz w:val="28"/>
          <w:szCs w:val="28"/>
        </w:rPr>
        <w:t>of</w:t>
      </w:r>
      <w:r w:rsidR="009C2799" w:rsidRPr="0042381A">
        <w:rPr>
          <w:sz w:val="28"/>
          <w:szCs w:val="28"/>
        </w:rPr>
        <w:t xml:space="preserve"> </w:t>
      </w:r>
      <w:r w:rsidR="00D36BDA" w:rsidRPr="0042381A">
        <w:rPr>
          <w:sz w:val="28"/>
          <w:szCs w:val="28"/>
        </w:rPr>
        <w:t xml:space="preserve">their </w:t>
      </w:r>
      <w:r w:rsidR="009C2799" w:rsidRPr="0042381A">
        <w:rPr>
          <w:sz w:val="28"/>
          <w:szCs w:val="28"/>
        </w:rPr>
        <w:t>confidential</w:t>
      </w:r>
      <w:r w:rsidR="00D36BDA" w:rsidRPr="0042381A">
        <w:rPr>
          <w:sz w:val="28"/>
          <w:szCs w:val="28"/>
        </w:rPr>
        <w:t xml:space="preserve"> and personal date being used for purposes beyond direct care</w:t>
      </w:r>
      <w:r w:rsidRPr="0042381A">
        <w:rPr>
          <w:sz w:val="28"/>
          <w:szCs w:val="28"/>
        </w:rPr>
        <w:t xml:space="preserve"> </w:t>
      </w:r>
    </w:p>
    <w:p w14:paraId="1D00EF4A" w14:textId="77777777" w:rsidR="00D36BDA" w:rsidRPr="0042381A" w:rsidRDefault="00D36BDA" w:rsidP="00D36BDA">
      <w:pPr>
        <w:rPr>
          <w:b/>
          <w:bCs/>
          <w:color w:val="70AD47" w:themeColor="accent6"/>
          <w:sz w:val="28"/>
          <w:szCs w:val="28"/>
        </w:rPr>
      </w:pPr>
    </w:p>
    <w:p w14:paraId="423A2079" w14:textId="2F513C05" w:rsidR="00D36BDA" w:rsidRPr="0042381A" w:rsidRDefault="00D36BDA" w:rsidP="00D36BDA">
      <w:pPr>
        <w:rPr>
          <w:b/>
          <w:bCs/>
          <w:color w:val="70AD47" w:themeColor="accent6"/>
          <w:sz w:val="28"/>
          <w:szCs w:val="28"/>
        </w:rPr>
      </w:pPr>
      <w:r w:rsidRPr="0042381A">
        <w:rPr>
          <w:b/>
          <w:bCs/>
          <w:color w:val="70AD47" w:themeColor="accent6"/>
          <w:sz w:val="28"/>
          <w:szCs w:val="28"/>
        </w:rPr>
        <w:t>The Councils application of the National Data Opt</w:t>
      </w:r>
      <w:r w:rsidR="00C14D25" w:rsidRPr="0042381A">
        <w:rPr>
          <w:b/>
          <w:bCs/>
          <w:color w:val="70AD47" w:themeColor="accent6"/>
          <w:sz w:val="28"/>
          <w:szCs w:val="28"/>
        </w:rPr>
        <w:t>-</w:t>
      </w:r>
      <w:r w:rsidRPr="0042381A">
        <w:rPr>
          <w:b/>
          <w:bCs/>
          <w:color w:val="70AD47" w:themeColor="accent6"/>
          <w:sz w:val="28"/>
          <w:szCs w:val="28"/>
        </w:rPr>
        <w:t xml:space="preserve">Out </w:t>
      </w:r>
    </w:p>
    <w:p w14:paraId="57D4F413" w14:textId="235A397C" w:rsidR="00D36BDA" w:rsidRPr="0042381A" w:rsidRDefault="00D36BDA" w:rsidP="00D36BDA">
      <w:pPr>
        <w:rPr>
          <w:sz w:val="28"/>
          <w:szCs w:val="28"/>
        </w:rPr>
      </w:pPr>
      <w:r w:rsidRPr="0042381A">
        <w:rPr>
          <w:sz w:val="28"/>
          <w:szCs w:val="28"/>
        </w:rPr>
        <w:t xml:space="preserve">Health and social care are required to apply the national data </w:t>
      </w:r>
      <w:r w:rsidR="00C14D25" w:rsidRPr="0042381A">
        <w:rPr>
          <w:sz w:val="28"/>
          <w:szCs w:val="28"/>
        </w:rPr>
        <w:t>Opt-Out</w:t>
      </w:r>
      <w:r w:rsidRPr="0042381A">
        <w:rPr>
          <w:sz w:val="28"/>
          <w:szCs w:val="28"/>
        </w:rPr>
        <w:t>s in line with the NHS National Data Opt</w:t>
      </w:r>
      <w:r w:rsidR="00C14D25" w:rsidRPr="0042381A">
        <w:rPr>
          <w:sz w:val="28"/>
          <w:szCs w:val="28"/>
        </w:rPr>
        <w:t>-</w:t>
      </w:r>
      <w:r w:rsidRPr="0042381A">
        <w:rPr>
          <w:sz w:val="28"/>
          <w:szCs w:val="28"/>
        </w:rPr>
        <w:t xml:space="preserve">Out Policy. NHS Digital had developed a technical service which enables health and adult social care to check if the people who use their services have </w:t>
      </w:r>
      <w:r w:rsidR="00C14D25" w:rsidRPr="0042381A">
        <w:rPr>
          <w:sz w:val="28"/>
          <w:szCs w:val="28"/>
        </w:rPr>
        <w:t>Opt</w:t>
      </w:r>
      <w:r w:rsidR="00A40927">
        <w:rPr>
          <w:sz w:val="28"/>
          <w:szCs w:val="28"/>
        </w:rPr>
        <w:t>ed</w:t>
      </w:r>
      <w:r w:rsidR="00C14D25" w:rsidRPr="0042381A">
        <w:rPr>
          <w:sz w:val="28"/>
          <w:szCs w:val="28"/>
        </w:rPr>
        <w:t>-Out</w:t>
      </w:r>
      <w:r w:rsidRPr="0042381A">
        <w:rPr>
          <w:sz w:val="28"/>
          <w:szCs w:val="28"/>
        </w:rPr>
        <w:t xml:space="preserve"> in order to enable them to</w:t>
      </w:r>
      <w:r w:rsidR="00A40927">
        <w:rPr>
          <w:sz w:val="28"/>
          <w:szCs w:val="28"/>
        </w:rPr>
        <w:t xml:space="preserve"> only disclose the CPI of individuals who have either consented or have not elected to </w:t>
      </w:r>
      <w:proofErr w:type="spellStart"/>
      <w:r w:rsidR="00A40927">
        <w:rPr>
          <w:sz w:val="28"/>
          <w:szCs w:val="28"/>
        </w:rPr>
        <w:t>Opt</w:t>
      </w:r>
      <w:proofErr w:type="spellEnd"/>
      <w:r w:rsidR="00A40927">
        <w:rPr>
          <w:sz w:val="28"/>
          <w:szCs w:val="28"/>
        </w:rPr>
        <w:t xml:space="preserve"> Out. </w:t>
      </w:r>
      <w:r w:rsidRPr="0042381A">
        <w:rPr>
          <w:sz w:val="28"/>
          <w:szCs w:val="28"/>
        </w:rPr>
        <w:t xml:space="preserve">. This service </w:t>
      </w:r>
      <w:r w:rsidR="00D6420C">
        <w:rPr>
          <w:sz w:val="28"/>
          <w:szCs w:val="28"/>
        </w:rPr>
        <w:t>will only be sued in the following way</w:t>
      </w:r>
      <w:r w:rsidRPr="0042381A">
        <w:rPr>
          <w:sz w:val="28"/>
          <w:szCs w:val="28"/>
        </w:rPr>
        <w:t xml:space="preserve">: </w:t>
      </w:r>
    </w:p>
    <w:p w14:paraId="1FA45924" w14:textId="6BADBB9C" w:rsidR="00267D88" w:rsidRPr="0042381A" w:rsidRDefault="00D36BDA" w:rsidP="00D36BDA">
      <w:pPr>
        <w:pStyle w:val="ListParagraph"/>
        <w:numPr>
          <w:ilvl w:val="0"/>
          <w:numId w:val="7"/>
        </w:numPr>
        <w:rPr>
          <w:sz w:val="28"/>
          <w:szCs w:val="28"/>
        </w:rPr>
      </w:pPr>
      <w:r w:rsidRPr="0042381A">
        <w:rPr>
          <w:sz w:val="28"/>
          <w:szCs w:val="28"/>
        </w:rPr>
        <w:t xml:space="preserve">Organisations submit a list of NHS numbers that they need to </w:t>
      </w:r>
      <w:r w:rsidR="009C2799" w:rsidRPr="0042381A">
        <w:rPr>
          <w:sz w:val="28"/>
          <w:szCs w:val="28"/>
        </w:rPr>
        <w:t>disclose,</w:t>
      </w:r>
      <w:r w:rsidRPr="0042381A">
        <w:rPr>
          <w:sz w:val="28"/>
          <w:szCs w:val="28"/>
        </w:rPr>
        <w:t xml:space="preserve"> </w:t>
      </w:r>
      <w:r w:rsidR="00267D88" w:rsidRPr="0042381A">
        <w:rPr>
          <w:sz w:val="28"/>
          <w:szCs w:val="28"/>
        </w:rPr>
        <w:t>and the service looks these up against the central repository of national data opt</w:t>
      </w:r>
      <w:r w:rsidR="00C14D25" w:rsidRPr="0042381A">
        <w:rPr>
          <w:sz w:val="28"/>
          <w:szCs w:val="28"/>
        </w:rPr>
        <w:t>-</w:t>
      </w:r>
      <w:r w:rsidR="00267D88" w:rsidRPr="0042381A">
        <w:rPr>
          <w:sz w:val="28"/>
          <w:szCs w:val="28"/>
        </w:rPr>
        <w:t xml:space="preserve">outs. It returns a cleaned list of those that do not </w:t>
      </w:r>
      <w:r w:rsidR="009C2799" w:rsidRPr="0042381A">
        <w:rPr>
          <w:sz w:val="28"/>
          <w:szCs w:val="28"/>
        </w:rPr>
        <w:t>have</w:t>
      </w:r>
      <w:r w:rsidR="00267D88" w:rsidRPr="0042381A">
        <w:rPr>
          <w:sz w:val="28"/>
          <w:szCs w:val="28"/>
        </w:rPr>
        <w:t xml:space="preserve"> a </w:t>
      </w:r>
      <w:r w:rsidR="00267D88" w:rsidRPr="0042381A">
        <w:rPr>
          <w:sz w:val="28"/>
          <w:szCs w:val="28"/>
        </w:rPr>
        <w:lastRenderedPageBreak/>
        <w:t xml:space="preserve">national data </w:t>
      </w:r>
      <w:r w:rsidR="00C14D25" w:rsidRPr="0042381A">
        <w:rPr>
          <w:sz w:val="28"/>
          <w:szCs w:val="28"/>
        </w:rPr>
        <w:t>Opt-Out</w:t>
      </w:r>
      <w:r w:rsidR="00267D88" w:rsidRPr="0042381A">
        <w:rPr>
          <w:sz w:val="28"/>
          <w:szCs w:val="28"/>
        </w:rPr>
        <w:t xml:space="preserve"> </w:t>
      </w:r>
      <w:r w:rsidR="009C2799" w:rsidRPr="0042381A">
        <w:rPr>
          <w:sz w:val="28"/>
          <w:szCs w:val="28"/>
        </w:rPr>
        <w:t>i.e.</w:t>
      </w:r>
      <w:r w:rsidR="00267D88" w:rsidRPr="0042381A">
        <w:rPr>
          <w:sz w:val="28"/>
          <w:szCs w:val="28"/>
        </w:rPr>
        <w:t xml:space="preserve"> it removes the NHS </w:t>
      </w:r>
      <w:r w:rsidR="009C2799" w:rsidRPr="0042381A">
        <w:rPr>
          <w:sz w:val="28"/>
          <w:szCs w:val="28"/>
        </w:rPr>
        <w:t>numbers</w:t>
      </w:r>
      <w:r w:rsidR="00267D88" w:rsidRPr="0042381A">
        <w:rPr>
          <w:sz w:val="28"/>
          <w:szCs w:val="28"/>
        </w:rPr>
        <w:t xml:space="preserve"> for those with a national data </w:t>
      </w:r>
      <w:r w:rsidR="00C14D25" w:rsidRPr="0042381A">
        <w:rPr>
          <w:sz w:val="28"/>
          <w:szCs w:val="28"/>
        </w:rPr>
        <w:t>Opt-Out</w:t>
      </w:r>
      <w:r w:rsidR="00267D88" w:rsidRPr="0042381A">
        <w:rPr>
          <w:sz w:val="28"/>
          <w:szCs w:val="28"/>
        </w:rPr>
        <w:t xml:space="preserve">. </w:t>
      </w:r>
      <w:r w:rsidR="009C2799" w:rsidRPr="0042381A">
        <w:rPr>
          <w:sz w:val="28"/>
          <w:szCs w:val="28"/>
        </w:rPr>
        <w:t>This</w:t>
      </w:r>
      <w:r w:rsidR="00267D88" w:rsidRPr="0042381A">
        <w:rPr>
          <w:sz w:val="28"/>
          <w:szCs w:val="28"/>
        </w:rPr>
        <w:t xml:space="preserve"> is most suitable for one -off and </w:t>
      </w:r>
      <w:r w:rsidR="009C2799" w:rsidRPr="0042381A">
        <w:rPr>
          <w:sz w:val="28"/>
          <w:szCs w:val="28"/>
        </w:rPr>
        <w:t>infrequent</w:t>
      </w:r>
      <w:r w:rsidR="00267D88" w:rsidRPr="0042381A">
        <w:rPr>
          <w:sz w:val="28"/>
          <w:szCs w:val="28"/>
        </w:rPr>
        <w:t xml:space="preserve"> disclosures of data. </w:t>
      </w:r>
    </w:p>
    <w:p w14:paraId="7EFC848E" w14:textId="12915616" w:rsidR="00D36BDA" w:rsidRPr="0042381A" w:rsidRDefault="00D36BDA" w:rsidP="00D6420C">
      <w:pPr>
        <w:pStyle w:val="ListParagraph"/>
        <w:rPr>
          <w:sz w:val="28"/>
          <w:szCs w:val="28"/>
        </w:rPr>
      </w:pPr>
    </w:p>
    <w:p w14:paraId="2A8011CE" w14:textId="0E37CC5A" w:rsidR="00D6420C" w:rsidRDefault="00D6420C" w:rsidP="00B237CB">
      <w:pPr>
        <w:shd w:val="clear" w:color="auto" w:fill="FFFFFF"/>
        <w:spacing w:after="0" w:line="405" w:lineRule="atLeast"/>
        <w:rPr>
          <w:sz w:val="28"/>
          <w:szCs w:val="28"/>
        </w:rPr>
      </w:pPr>
    </w:p>
    <w:p w14:paraId="0DA75B3C" w14:textId="6863CBA9" w:rsidR="00D6420C" w:rsidRDefault="00D6420C" w:rsidP="00B237CB">
      <w:pPr>
        <w:shd w:val="clear" w:color="auto" w:fill="FFFFFF"/>
        <w:spacing w:after="0" w:line="405" w:lineRule="atLeast"/>
        <w:rPr>
          <w:sz w:val="28"/>
          <w:szCs w:val="28"/>
        </w:rPr>
      </w:pPr>
    </w:p>
    <w:p w14:paraId="5788FB71" w14:textId="3D231137" w:rsidR="00D6420C" w:rsidRDefault="00D6420C" w:rsidP="00B237CB">
      <w:pPr>
        <w:shd w:val="clear" w:color="auto" w:fill="FFFFFF"/>
        <w:spacing w:after="0" w:line="405" w:lineRule="atLeast"/>
        <w:rPr>
          <w:sz w:val="28"/>
          <w:szCs w:val="28"/>
        </w:rPr>
      </w:pPr>
    </w:p>
    <w:p w14:paraId="05584BCB" w14:textId="276051EF" w:rsidR="00D6420C" w:rsidRDefault="00D6420C" w:rsidP="00B237CB">
      <w:pPr>
        <w:shd w:val="clear" w:color="auto" w:fill="FFFFFF"/>
        <w:spacing w:after="0" w:line="405" w:lineRule="atLeast"/>
        <w:rPr>
          <w:sz w:val="28"/>
          <w:szCs w:val="28"/>
        </w:rPr>
      </w:pPr>
    </w:p>
    <w:p w14:paraId="35341797" w14:textId="2A79C690" w:rsidR="00D6420C" w:rsidRDefault="00D6420C" w:rsidP="00B237CB">
      <w:pPr>
        <w:shd w:val="clear" w:color="auto" w:fill="FFFFFF"/>
        <w:spacing w:after="0" w:line="405" w:lineRule="atLeast"/>
        <w:rPr>
          <w:sz w:val="28"/>
          <w:szCs w:val="28"/>
        </w:rPr>
      </w:pPr>
    </w:p>
    <w:p w14:paraId="1CC33976" w14:textId="088031B9" w:rsidR="00D6420C" w:rsidRDefault="00D6420C" w:rsidP="00B237CB">
      <w:pPr>
        <w:shd w:val="clear" w:color="auto" w:fill="FFFFFF"/>
        <w:spacing w:after="0" w:line="405" w:lineRule="atLeast"/>
        <w:rPr>
          <w:sz w:val="28"/>
          <w:szCs w:val="28"/>
        </w:rPr>
      </w:pPr>
    </w:p>
    <w:p w14:paraId="39002F1E" w14:textId="571C727B" w:rsidR="00D6420C" w:rsidRDefault="00D6420C" w:rsidP="00B237CB">
      <w:pPr>
        <w:shd w:val="clear" w:color="auto" w:fill="FFFFFF"/>
        <w:spacing w:after="0" w:line="405" w:lineRule="atLeast"/>
        <w:rPr>
          <w:sz w:val="28"/>
          <w:szCs w:val="28"/>
        </w:rPr>
      </w:pPr>
    </w:p>
    <w:p w14:paraId="7960B7B1" w14:textId="77777777" w:rsidR="00D6420C" w:rsidRPr="001C10FE" w:rsidRDefault="00D6420C" w:rsidP="00B237CB">
      <w:pPr>
        <w:shd w:val="clear" w:color="auto" w:fill="FFFFFF"/>
        <w:spacing w:after="0" w:line="405" w:lineRule="atLeast"/>
        <w:rPr>
          <w:sz w:val="28"/>
          <w:szCs w:val="28"/>
        </w:rPr>
      </w:pPr>
    </w:p>
    <w:p w14:paraId="0F82309E" w14:textId="77777777" w:rsidR="00D6420C" w:rsidRDefault="00D6420C" w:rsidP="00D6420C">
      <w:pPr>
        <w:rPr>
          <w:b/>
          <w:bCs/>
          <w:sz w:val="48"/>
          <w:szCs w:val="48"/>
        </w:rPr>
      </w:pPr>
    </w:p>
    <w:p w14:paraId="7B7A6E72" w14:textId="77777777" w:rsidR="00D6420C" w:rsidRDefault="00D6420C" w:rsidP="00D6420C">
      <w:pPr>
        <w:rPr>
          <w:b/>
          <w:bCs/>
          <w:sz w:val="48"/>
          <w:szCs w:val="48"/>
        </w:rPr>
      </w:pPr>
    </w:p>
    <w:p w14:paraId="5227F95B" w14:textId="77777777" w:rsidR="00D6420C" w:rsidRDefault="00D6420C" w:rsidP="00D6420C">
      <w:pPr>
        <w:rPr>
          <w:b/>
          <w:bCs/>
          <w:sz w:val="48"/>
          <w:szCs w:val="48"/>
        </w:rPr>
      </w:pPr>
    </w:p>
    <w:p w14:paraId="3130CAE7" w14:textId="77777777" w:rsidR="00D6420C" w:rsidRDefault="00D6420C" w:rsidP="00D6420C">
      <w:pPr>
        <w:rPr>
          <w:b/>
          <w:bCs/>
          <w:sz w:val="48"/>
          <w:szCs w:val="48"/>
        </w:rPr>
      </w:pPr>
    </w:p>
    <w:p w14:paraId="61859904" w14:textId="77777777" w:rsidR="00D6420C" w:rsidRDefault="00D6420C" w:rsidP="00D6420C">
      <w:pPr>
        <w:rPr>
          <w:b/>
          <w:bCs/>
          <w:sz w:val="48"/>
          <w:szCs w:val="48"/>
        </w:rPr>
      </w:pPr>
    </w:p>
    <w:p w14:paraId="4DF75C97" w14:textId="77777777" w:rsidR="00D6420C" w:rsidRDefault="00D6420C" w:rsidP="00D6420C">
      <w:pPr>
        <w:rPr>
          <w:b/>
          <w:bCs/>
          <w:sz w:val="48"/>
          <w:szCs w:val="48"/>
        </w:rPr>
      </w:pPr>
    </w:p>
    <w:p w14:paraId="7D6849DF" w14:textId="5D4C2A15" w:rsidR="00D6420C" w:rsidRPr="00D6420C" w:rsidRDefault="00D6420C" w:rsidP="00D6420C">
      <w:pPr>
        <w:rPr>
          <w:b/>
          <w:bCs/>
          <w:sz w:val="48"/>
          <w:szCs w:val="48"/>
        </w:rPr>
      </w:pPr>
      <w:r w:rsidRPr="00D6420C">
        <w:rPr>
          <w:b/>
          <w:bCs/>
          <w:sz w:val="48"/>
          <w:szCs w:val="48"/>
        </w:rPr>
        <w:t xml:space="preserve">NHS Data </w:t>
      </w:r>
      <w:proofErr w:type="spellStart"/>
      <w:r w:rsidRPr="00D6420C">
        <w:rPr>
          <w:b/>
          <w:bCs/>
          <w:sz w:val="48"/>
          <w:szCs w:val="48"/>
        </w:rPr>
        <w:t>Opt</w:t>
      </w:r>
      <w:proofErr w:type="spellEnd"/>
      <w:r w:rsidRPr="00D6420C">
        <w:rPr>
          <w:b/>
          <w:bCs/>
          <w:sz w:val="48"/>
          <w:szCs w:val="48"/>
        </w:rPr>
        <w:t xml:space="preserve"> Out Process Map</w:t>
      </w:r>
    </w:p>
    <w:p w14:paraId="24E6DC23" w14:textId="77777777" w:rsidR="00D6420C" w:rsidRPr="00D6420C" w:rsidRDefault="00D6420C" w:rsidP="00D6420C">
      <w:r w:rsidRPr="00D6420C">
        <w:object w:dxaOrig="5461" w:dyaOrig="11716" w14:anchorId="1D165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586pt" o:ole="">
            <v:imagedata r:id="rId9" o:title=""/>
          </v:shape>
          <o:OLEObject Type="Embed" ProgID="Visio.Drawing.15" ShapeID="_x0000_i1025" DrawAspect="Content" ObjectID="_1775995614" r:id="rId10"/>
        </w:object>
      </w:r>
    </w:p>
    <w:p w14:paraId="4797E263" w14:textId="77777777" w:rsidR="00D6420C" w:rsidRPr="00D6420C" w:rsidRDefault="00D6420C" w:rsidP="00D6420C">
      <w:r w:rsidRPr="00D6420C">
        <w:br w:type="page"/>
      </w:r>
    </w:p>
    <w:p w14:paraId="28D4C83B" w14:textId="77777777" w:rsidR="00D6420C" w:rsidRPr="00D6420C" w:rsidRDefault="00D6420C" w:rsidP="00D6420C"/>
    <w:p w14:paraId="0612583A" w14:textId="77777777" w:rsidR="00D6420C" w:rsidRPr="00D6420C" w:rsidRDefault="00D6420C" w:rsidP="00D6420C">
      <w:pPr>
        <w:rPr>
          <w:b/>
          <w:bCs/>
          <w:sz w:val="48"/>
          <w:szCs w:val="48"/>
        </w:rPr>
      </w:pPr>
    </w:p>
    <w:p w14:paraId="08CF65EA" w14:textId="77777777" w:rsidR="00D6420C" w:rsidRPr="00D6420C" w:rsidRDefault="00D6420C" w:rsidP="00D6420C">
      <w:r w:rsidRPr="00D6420C">
        <w:rPr>
          <w:b/>
          <w:bCs/>
          <w:sz w:val="48"/>
          <w:szCs w:val="48"/>
        </w:rPr>
        <w:t xml:space="preserve">NHS Data </w:t>
      </w:r>
      <w:proofErr w:type="spellStart"/>
      <w:r w:rsidRPr="00D6420C">
        <w:rPr>
          <w:b/>
          <w:bCs/>
          <w:sz w:val="48"/>
          <w:szCs w:val="48"/>
        </w:rPr>
        <w:t>Opt</w:t>
      </w:r>
      <w:proofErr w:type="spellEnd"/>
      <w:r w:rsidRPr="00D6420C">
        <w:rPr>
          <w:b/>
          <w:bCs/>
          <w:sz w:val="48"/>
          <w:szCs w:val="48"/>
        </w:rPr>
        <w:t xml:space="preserve"> Out Process Steps</w:t>
      </w:r>
    </w:p>
    <w:p w14:paraId="1785885E" w14:textId="77777777" w:rsidR="00D6420C" w:rsidRPr="00D6420C" w:rsidRDefault="00D6420C" w:rsidP="00D6420C"/>
    <w:tbl>
      <w:tblPr>
        <w:tblStyle w:val="TableGrid"/>
        <w:tblW w:w="0" w:type="auto"/>
        <w:tblLook w:val="04A0" w:firstRow="1" w:lastRow="0" w:firstColumn="1" w:lastColumn="0" w:noHBand="0" w:noVBand="1"/>
      </w:tblPr>
      <w:tblGrid>
        <w:gridCol w:w="5807"/>
        <w:gridCol w:w="3209"/>
      </w:tblGrid>
      <w:tr w:rsidR="00D6420C" w:rsidRPr="00D6420C" w14:paraId="1A64FDDE" w14:textId="77777777" w:rsidTr="0067053F">
        <w:tc>
          <w:tcPr>
            <w:tcW w:w="5807" w:type="dxa"/>
            <w:shd w:val="clear" w:color="auto" w:fill="D9D9D9" w:themeFill="background1" w:themeFillShade="D9"/>
          </w:tcPr>
          <w:p w14:paraId="78CD4720" w14:textId="77777777" w:rsidR="00D6420C" w:rsidRPr="00D6420C" w:rsidRDefault="00D6420C" w:rsidP="00D6420C">
            <w:pPr>
              <w:rPr>
                <w:b/>
                <w:bCs/>
              </w:rPr>
            </w:pPr>
            <w:r w:rsidRPr="00D6420C">
              <w:rPr>
                <w:b/>
                <w:bCs/>
              </w:rPr>
              <w:t>Process Step</w:t>
            </w:r>
          </w:p>
        </w:tc>
        <w:tc>
          <w:tcPr>
            <w:tcW w:w="3209" w:type="dxa"/>
            <w:shd w:val="clear" w:color="auto" w:fill="D9D9D9" w:themeFill="background1" w:themeFillShade="D9"/>
          </w:tcPr>
          <w:p w14:paraId="762E93AD" w14:textId="77777777" w:rsidR="00D6420C" w:rsidRPr="00D6420C" w:rsidRDefault="00D6420C" w:rsidP="00D6420C">
            <w:pPr>
              <w:rPr>
                <w:b/>
                <w:bCs/>
              </w:rPr>
            </w:pPr>
            <w:r w:rsidRPr="00D6420C">
              <w:rPr>
                <w:b/>
                <w:bCs/>
              </w:rPr>
              <w:t xml:space="preserve">Responsibility </w:t>
            </w:r>
          </w:p>
          <w:p w14:paraId="73E45A31" w14:textId="77777777" w:rsidR="00D6420C" w:rsidRPr="00D6420C" w:rsidRDefault="00D6420C" w:rsidP="00D6420C">
            <w:pPr>
              <w:rPr>
                <w:b/>
                <w:bCs/>
              </w:rPr>
            </w:pPr>
          </w:p>
        </w:tc>
      </w:tr>
      <w:tr w:rsidR="00D6420C" w:rsidRPr="00D6420C" w14:paraId="7DFBE6F0" w14:textId="77777777" w:rsidTr="0067053F">
        <w:tc>
          <w:tcPr>
            <w:tcW w:w="5807" w:type="dxa"/>
          </w:tcPr>
          <w:p w14:paraId="2F6BEF10" w14:textId="77777777" w:rsidR="00D6420C" w:rsidRPr="00D6420C" w:rsidRDefault="00D6420C" w:rsidP="00D6420C">
            <w:pPr>
              <w:numPr>
                <w:ilvl w:val="0"/>
                <w:numId w:val="13"/>
              </w:numPr>
              <w:contextualSpacing/>
            </w:pPr>
            <w:r w:rsidRPr="00D6420C">
              <w:t xml:space="preserve">Decision is made using the guidance that the data will be used for research purposes and the NHS Data </w:t>
            </w:r>
            <w:proofErr w:type="spellStart"/>
            <w:r w:rsidRPr="00D6420C">
              <w:t>Opt</w:t>
            </w:r>
            <w:proofErr w:type="spellEnd"/>
            <w:r w:rsidRPr="00D6420C">
              <w:t xml:space="preserve"> Out process needs to be followed</w:t>
            </w:r>
          </w:p>
          <w:p w14:paraId="5ABF023E" w14:textId="77777777" w:rsidR="00D6420C" w:rsidRPr="00D6420C" w:rsidRDefault="00D6420C" w:rsidP="00D6420C"/>
        </w:tc>
        <w:tc>
          <w:tcPr>
            <w:tcW w:w="3209" w:type="dxa"/>
          </w:tcPr>
          <w:p w14:paraId="6CC5DEA9" w14:textId="77777777" w:rsidR="00D6420C" w:rsidRPr="00D6420C" w:rsidRDefault="00D6420C" w:rsidP="00D6420C">
            <w:r w:rsidRPr="00D6420C">
              <w:t>Adults Social Care</w:t>
            </w:r>
          </w:p>
        </w:tc>
      </w:tr>
      <w:tr w:rsidR="00D6420C" w:rsidRPr="00D6420C" w14:paraId="36853306" w14:textId="77777777" w:rsidTr="0067053F">
        <w:tc>
          <w:tcPr>
            <w:tcW w:w="5807" w:type="dxa"/>
          </w:tcPr>
          <w:p w14:paraId="43D7749B" w14:textId="77777777" w:rsidR="00D6420C" w:rsidRPr="00D6420C" w:rsidRDefault="00D6420C" w:rsidP="00D6420C">
            <w:pPr>
              <w:numPr>
                <w:ilvl w:val="0"/>
                <w:numId w:val="13"/>
              </w:numPr>
              <w:contextualSpacing/>
            </w:pPr>
            <w:r w:rsidRPr="00D6420C">
              <w:t xml:space="preserve">Call is logged on the Adults ICT Helpdesk using the Category “LAS NHS Data </w:t>
            </w:r>
            <w:proofErr w:type="spellStart"/>
            <w:r w:rsidRPr="00D6420C">
              <w:t>Opt</w:t>
            </w:r>
            <w:proofErr w:type="spellEnd"/>
            <w:r w:rsidRPr="00D6420C">
              <w:t xml:space="preserve"> Out”</w:t>
            </w:r>
          </w:p>
          <w:p w14:paraId="3BA13C0B" w14:textId="77777777" w:rsidR="00D6420C" w:rsidRPr="00D6420C" w:rsidRDefault="00D6420C" w:rsidP="00D6420C"/>
        </w:tc>
        <w:tc>
          <w:tcPr>
            <w:tcW w:w="3209" w:type="dxa"/>
          </w:tcPr>
          <w:p w14:paraId="338954C1" w14:textId="77777777" w:rsidR="00D6420C" w:rsidRPr="00D6420C" w:rsidRDefault="00D6420C" w:rsidP="00D6420C">
            <w:r w:rsidRPr="00D6420C">
              <w:t>Adults Social Care</w:t>
            </w:r>
          </w:p>
        </w:tc>
      </w:tr>
      <w:tr w:rsidR="00D6420C" w:rsidRPr="00D6420C" w14:paraId="70256BFC" w14:textId="77777777" w:rsidTr="0067053F">
        <w:tc>
          <w:tcPr>
            <w:tcW w:w="5807" w:type="dxa"/>
          </w:tcPr>
          <w:p w14:paraId="2F034EE3" w14:textId="77777777" w:rsidR="00D6420C" w:rsidRPr="00D6420C" w:rsidRDefault="00D6420C" w:rsidP="00D6420C">
            <w:pPr>
              <w:numPr>
                <w:ilvl w:val="0"/>
                <w:numId w:val="13"/>
              </w:numPr>
              <w:contextualSpacing/>
            </w:pPr>
            <w:r w:rsidRPr="00D6420C">
              <w:t>Helpdesk System will send automated email to Assistant Director of Adults Social Care to approve the request</w:t>
            </w:r>
          </w:p>
          <w:p w14:paraId="2CF62EE9" w14:textId="77777777" w:rsidR="00D6420C" w:rsidRPr="00D6420C" w:rsidRDefault="00D6420C" w:rsidP="00D6420C">
            <w:pPr>
              <w:ind w:left="360"/>
              <w:contextualSpacing/>
            </w:pPr>
          </w:p>
        </w:tc>
        <w:tc>
          <w:tcPr>
            <w:tcW w:w="3209" w:type="dxa"/>
          </w:tcPr>
          <w:p w14:paraId="7B726F51" w14:textId="77777777" w:rsidR="00D6420C" w:rsidRPr="00D6420C" w:rsidRDefault="00D6420C" w:rsidP="00D6420C">
            <w:r w:rsidRPr="00D6420C">
              <w:t>Assistant Director of Adults Social Care</w:t>
            </w:r>
          </w:p>
        </w:tc>
      </w:tr>
      <w:tr w:rsidR="00D6420C" w:rsidRPr="00D6420C" w14:paraId="42A032D6" w14:textId="77777777" w:rsidTr="0067053F">
        <w:tc>
          <w:tcPr>
            <w:tcW w:w="5807" w:type="dxa"/>
          </w:tcPr>
          <w:p w14:paraId="66ACA299" w14:textId="77777777" w:rsidR="00D6420C" w:rsidRPr="00D6420C" w:rsidRDefault="00D6420C" w:rsidP="00D6420C">
            <w:pPr>
              <w:numPr>
                <w:ilvl w:val="0"/>
                <w:numId w:val="13"/>
              </w:numPr>
              <w:contextualSpacing/>
            </w:pPr>
            <w:r w:rsidRPr="00D6420C">
              <w:t xml:space="preserve">If request is approved the Systems Team will send Email Notification sent to </w:t>
            </w:r>
            <w:hyperlink r:id="rId11" w:history="1">
              <w:r w:rsidRPr="00D6420C">
                <w:rPr>
                  <w:color w:val="0563C1" w:themeColor="hyperlink"/>
                  <w:u w:val="single"/>
                </w:rPr>
                <w:t>Info_Governance@sandwell.gov.uk</w:t>
              </w:r>
            </w:hyperlink>
            <w:r w:rsidRPr="00D6420C">
              <w:t xml:space="preserve"> to allow them to be aware a request has been made.</w:t>
            </w:r>
          </w:p>
          <w:p w14:paraId="07E6B1C2" w14:textId="77777777" w:rsidR="00D6420C" w:rsidRPr="00D6420C" w:rsidRDefault="00D6420C" w:rsidP="00D6420C">
            <w:pPr>
              <w:ind w:left="360"/>
              <w:contextualSpacing/>
            </w:pPr>
          </w:p>
        </w:tc>
        <w:tc>
          <w:tcPr>
            <w:tcW w:w="3209" w:type="dxa"/>
          </w:tcPr>
          <w:p w14:paraId="383E21B7" w14:textId="77777777" w:rsidR="00D6420C" w:rsidRPr="00D6420C" w:rsidRDefault="00D6420C" w:rsidP="00D6420C">
            <w:r w:rsidRPr="00D6420C">
              <w:t>Systems Team</w:t>
            </w:r>
          </w:p>
        </w:tc>
      </w:tr>
      <w:tr w:rsidR="00D6420C" w:rsidRPr="00D6420C" w14:paraId="11482D78" w14:textId="77777777" w:rsidTr="0067053F">
        <w:tc>
          <w:tcPr>
            <w:tcW w:w="5807" w:type="dxa"/>
          </w:tcPr>
          <w:p w14:paraId="16CB0EEA" w14:textId="77777777" w:rsidR="00D6420C" w:rsidRPr="00D6420C" w:rsidRDefault="00D6420C" w:rsidP="00D6420C">
            <w:pPr>
              <w:numPr>
                <w:ilvl w:val="0"/>
                <w:numId w:val="13"/>
              </w:numPr>
              <w:contextualSpacing/>
            </w:pPr>
            <w:r w:rsidRPr="00D6420C">
              <w:t>Systems Team will request Data Cohort from Requester</w:t>
            </w:r>
          </w:p>
        </w:tc>
        <w:tc>
          <w:tcPr>
            <w:tcW w:w="3209" w:type="dxa"/>
          </w:tcPr>
          <w:p w14:paraId="0707F251" w14:textId="77777777" w:rsidR="00D6420C" w:rsidRPr="00D6420C" w:rsidRDefault="00D6420C" w:rsidP="00D6420C">
            <w:r w:rsidRPr="00D6420C">
              <w:t>Systems Team</w:t>
            </w:r>
          </w:p>
          <w:p w14:paraId="56E7AF98" w14:textId="77777777" w:rsidR="00D6420C" w:rsidRPr="00D6420C" w:rsidRDefault="00D6420C" w:rsidP="00D6420C"/>
        </w:tc>
      </w:tr>
      <w:tr w:rsidR="00D6420C" w:rsidRPr="00D6420C" w14:paraId="734ECF78" w14:textId="77777777" w:rsidTr="0067053F">
        <w:tc>
          <w:tcPr>
            <w:tcW w:w="5807" w:type="dxa"/>
          </w:tcPr>
          <w:p w14:paraId="19050081" w14:textId="77777777" w:rsidR="00D6420C" w:rsidRPr="00D6420C" w:rsidRDefault="00D6420C" w:rsidP="00D6420C">
            <w:pPr>
              <w:numPr>
                <w:ilvl w:val="0"/>
                <w:numId w:val="13"/>
              </w:numPr>
              <w:contextualSpacing/>
            </w:pPr>
            <w:r w:rsidRPr="00D6420C">
              <w:t xml:space="preserve">Systems will Request Via MESH System Details of Records which are Flagged for NHS Data </w:t>
            </w:r>
            <w:proofErr w:type="spellStart"/>
            <w:r w:rsidRPr="00D6420C">
              <w:t>Opt</w:t>
            </w:r>
            <w:proofErr w:type="spellEnd"/>
            <w:r w:rsidRPr="00D6420C">
              <w:t xml:space="preserve"> Out</w:t>
            </w:r>
          </w:p>
          <w:p w14:paraId="6FF11945" w14:textId="77777777" w:rsidR="00D6420C" w:rsidRPr="00D6420C" w:rsidRDefault="00D6420C" w:rsidP="00D6420C">
            <w:pPr>
              <w:ind w:left="360"/>
              <w:contextualSpacing/>
            </w:pPr>
          </w:p>
        </w:tc>
        <w:tc>
          <w:tcPr>
            <w:tcW w:w="3209" w:type="dxa"/>
          </w:tcPr>
          <w:p w14:paraId="0F63660E" w14:textId="77777777" w:rsidR="00D6420C" w:rsidRPr="00D6420C" w:rsidRDefault="00D6420C" w:rsidP="00D6420C">
            <w:r w:rsidRPr="00D6420C">
              <w:t>Systems Team</w:t>
            </w:r>
          </w:p>
        </w:tc>
      </w:tr>
      <w:tr w:rsidR="00D6420C" w:rsidRPr="00D6420C" w14:paraId="1F34FF6F" w14:textId="77777777" w:rsidTr="0067053F">
        <w:tc>
          <w:tcPr>
            <w:tcW w:w="5807" w:type="dxa"/>
          </w:tcPr>
          <w:p w14:paraId="317A2B20" w14:textId="77777777" w:rsidR="00D6420C" w:rsidRPr="00D6420C" w:rsidRDefault="00D6420C" w:rsidP="00D6420C">
            <w:pPr>
              <w:numPr>
                <w:ilvl w:val="0"/>
                <w:numId w:val="13"/>
              </w:numPr>
              <w:contextualSpacing/>
            </w:pPr>
            <w:r w:rsidRPr="00D6420C">
              <w:t xml:space="preserve">List of Records Flagged for NHS Data </w:t>
            </w:r>
            <w:proofErr w:type="spellStart"/>
            <w:r w:rsidRPr="00D6420C">
              <w:t>Opt</w:t>
            </w:r>
            <w:proofErr w:type="spellEnd"/>
            <w:r w:rsidRPr="00D6420C">
              <w:t xml:space="preserve"> Out Supplied to Requester</w:t>
            </w:r>
          </w:p>
          <w:p w14:paraId="36D54045" w14:textId="77777777" w:rsidR="00D6420C" w:rsidRPr="00D6420C" w:rsidRDefault="00D6420C" w:rsidP="00D6420C">
            <w:pPr>
              <w:ind w:left="360"/>
              <w:contextualSpacing/>
            </w:pPr>
          </w:p>
        </w:tc>
        <w:tc>
          <w:tcPr>
            <w:tcW w:w="3209" w:type="dxa"/>
          </w:tcPr>
          <w:p w14:paraId="2E0F6225" w14:textId="77777777" w:rsidR="00D6420C" w:rsidRPr="00D6420C" w:rsidRDefault="00D6420C" w:rsidP="00D6420C">
            <w:r w:rsidRPr="00D6420C">
              <w:t>Systems Team</w:t>
            </w:r>
          </w:p>
        </w:tc>
      </w:tr>
      <w:tr w:rsidR="00D6420C" w:rsidRPr="00D6420C" w14:paraId="47905F38" w14:textId="77777777" w:rsidTr="0067053F">
        <w:tc>
          <w:tcPr>
            <w:tcW w:w="5807" w:type="dxa"/>
          </w:tcPr>
          <w:p w14:paraId="4F37FE92" w14:textId="77777777" w:rsidR="00D6420C" w:rsidRPr="00D6420C" w:rsidRDefault="00D6420C" w:rsidP="00D6420C">
            <w:pPr>
              <w:numPr>
                <w:ilvl w:val="0"/>
                <w:numId w:val="13"/>
              </w:numPr>
              <w:contextualSpacing/>
            </w:pPr>
            <w:r w:rsidRPr="00D6420C">
              <w:t xml:space="preserve">Notification Sent to </w:t>
            </w:r>
            <w:hyperlink r:id="rId12" w:history="1">
              <w:r w:rsidRPr="00D6420C">
                <w:rPr>
                  <w:color w:val="0563C1" w:themeColor="hyperlink"/>
                  <w:u w:val="single"/>
                </w:rPr>
                <w:t>Info_Governance@sandwell.gov.uk</w:t>
              </w:r>
            </w:hyperlink>
            <w:r w:rsidRPr="00D6420C">
              <w:t xml:space="preserve"> that NHS Data </w:t>
            </w:r>
            <w:proofErr w:type="spellStart"/>
            <w:r w:rsidRPr="00D6420C">
              <w:t>Opt</w:t>
            </w:r>
            <w:proofErr w:type="spellEnd"/>
            <w:r w:rsidRPr="00D6420C">
              <w:t xml:space="preserve"> Out details have been supplied</w:t>
            </w:r>
          </w:p>
          <w:p w14:paraId="322DF830" w14:textId="77777777" w:rsidR="00D6420C" w:rsidRPr="00D6420C" w:rsidRDefault="00D6420C" w:rsidP="00D6420C">
            <w:pPr>
              <w:ind w:left="360"/>
              <w:contextualSpacing/>
            </w:pPr>
          </w:p>
        </w:tc>
        <w:tc>
          <w:tcPr>
            <w:tcW w:w="3209" w:type="dxa"/>
          </w:tcPr>
          <w:p w14:paraId="2897186A" w14:textId="77777777" w:rsidR="00D6420C" w:rsidRPr="00D6420C" w:rsidRDefault="00D6420C" w:rsidP="00D6420C">
            <w:r w:rsidRPr="00D6420C">
              <w:t>Systems Team</w:t>
            </w:r>
          </w:p>
        </w:tc>
      </w:tr>
    </w:tbl>
    <w:p w14:paraId="284B63E0" w14:textId="77777777" w:rsidR="00B237CB" w:rsidRPr="001C10FE" w:rsidRDefault="00B237CB" w:rsidP="00B237CB">
      <w:pPr>
        <w:shd w:val="clear" w:color="auto" w:fill="FFFFFF"/>
        <w:spacing w:after="0" w:line="405" w:lineRule="atLeast"/>
        <w:rPr>
          <w:sz w:val="28"/>
          <w:szCs w:val="28"/>
        </w:rPr>
      </w:pPr>
    </w:p>
    <w:p w14:paraId="6F435D7E" w14:textId="77777777" w:rsidR="00B237CB" w:rsidRPr="00B237CB" w:rsidRDefault="00B237CB" w:rsidP="00B237CB">
      <w:pPr>
        <w:autoSpaceDE w:val="0"/>
        <w:autoSpaceDN w:val="0"/>
        <w:adjustRightInd w:val="0"/>
        <w:spacing w:after="0" w:line="240" w:lineRule="auto"/>
        <w:rPr>
          <w:rFonts w:ascii="Calibri" w:hAnsi="Calibri" w:cs="Calibri"/>
          <w:color w:val="000000"/>
          <w:sz w:val="24"/>
          <w:szCs w:val="24"/>
        </w:rPr>
      </w:pPr>
    </w:p>
    <w:p w14:paraId="066691CE" w14:textId="649E2EAB" w:rsidR="00B237CB" w:rsidRPr="0042381A" w:rsidRDefault="00B237CB" w:rsidP="00B237CB">
      <w:pPr>
        <w:shd w:val="clear" w:color="auto" w:fill="FFFFFF"/>
        <w:spacing w:after="0" w:line="405" w:lineRule="atLeast"/>
        <w:rPr>
          <w:rFonts w:ascii="Calibri" w:hAnsi="Calibri" w:cs="Calibri"/>
          <w:b/>
          <w:bCs/>
          <w:color w:val="528135"/>
          <w:sz w:val="28"/>
          <w:szCs w:val="28"/>
        </w:rPr>
      </w:pPr>
      <w:r w:rsidRPr="001C10FE">
        <w:rPr>
          <w:rFonts w:ascii="Calibri" w:hAnsi="Calibri" w:cs="Calibri"/>
          <w:color w:val="000000"/>
          <w:sz w:val="24"/>
          <w:szCs w:val="24"/>
        </w:rPr>
        <w:t xml:space="preserve"> </w:t>
      </w:r>
      <w:r w:rsidRPr="001C10FE">
        <w:rPr>
          <w:rFonts w:ascii="Calibri" w:hAnsi="Calibri" w:cs="Calibri"/>
          <w:b/>
          <w:bCs/>
          <w:color w:val="528135"/>
          <w:sz w:val="28"/>
          <w:szCs w:val="28"/>
        </w:rPr>
        <w:t xml:space="preserve">What data falls within the Data </w:t>
      </w:r>
      <w:r w:rsidR="00C14D25" w:rsidRPr="001C10FE">
        <w:rPr>
          <w:rFonts w:ascii="Calibri" w:hAnsi="Calibri" w:cs="Calibri"/>
          <w:b/>
          <w:bCs/>
          <w:color w:val="528135"/>
          <w:sz w:val="28"/>
          <w:szCs w:val="28"/>
        </w:rPr>
        <w:t>Opt-Out</w:t>
      </w:r>
      <w:r w:rsidRPr="001C10FE">
        <w:rPr>
          <w:rFonts w:ascii="Calibri" w:hAnsi="Calibri" w:cs="Calibri"/>
          <w:b/>
          <w:bCs/>
          <w:color w:val="528135"/>
          <w:sz w:val="28"/>
          <w:szCs w:val="28"/>
        </w:rPr>
        <w:t>?</w:t>
      </w:r>
    </w:p>
    <w:p w14:paraId="27F43606" w14:textId="77777777" w:rsidR="00B237CB" w:rsidRPr="007404CF" w:rsidRDefault="00B237CB" w:rsidP="00B237CB">
      <w:pPr>
        <w:shd w:val="clear" w:color="auto" w:fill="FFFFFF"/>
        <w:spacing w:after="0" w:line="405" w:lineRule="atLeast"/>
        <w:rPr>
          <w:rFonts w:ascii="open_sans_lightregular" w:eastAsia="Times New Roman" w:hAnsi="open_sans_lightregular" w:cs="Times New Roman"/>
          <w:color w:val="797878"/>
          <w:sz w:val="24"/>
          <w:szCs w:val="24"/>
          <w:lang w:eastAsia="en-GB"/>
        </w:rPr>
      </w:pPr>
    </w:p>
    <w:p w14:paraId="121153E5" w14:textId="5E510BA0" w:rsidR="001E0628" w:rsidRPr="001E0628" w:rsidRDefault="001E0628" w:rsidP="001E0628">
      <w:pPr>
        <w:shd w:val="clear" w:color="auto" w:fill="FFFFFF"/>
        <w:spacing w:after="360" w:line="360" w:lineRule="atLeast"/>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The opt-out only applies to C</w:t>
      </w:r>
      <w:r w:rsidRPr="001E0628">
        <w:rPr>
          <w:rFonts w:ascii="Arial" w:eastAsia="Times New Roman" w:hAnsi="Arial" w:cs="Arial"/>
          <w:color w:val="212529"/>
          <w:sz w:val="24"/>
          <w:szCs w:val="24"/>
          <w:lang w:eastAsia="en-GB"/>
        </w:rPr>
        <w:t xml:space="preserve">onfidential </w:t>
      </w:r>
      <w:r>
        <w:rPr>
          <w:rFonts w:ascii="Arial" w:eastAsia="Times New Roman" w:hAnsi="Arial" w:cs="Arial"/>
          <w:color w:val="212529"/>
          <w:sz w:val="24"/>
          <w:szCs w:val="24"/>
          <w:lang w:eastAsia="en-GB"/>
        </w:rPr>
        <w:t>P</w:t>
      </w:r>
      <w:r w:rsidRPr="001E0628">
        <w:rPr>
          <w:rFonts w:ascii="Arial" w:eastAsia="Times New Roman" w:hAnsi="Arial" w:cs="Arial"/>
          <w:color w:val="212529"/>
          <w:sz w:val="24"/>
          <w:szCs w:val="24"/>
          <w:lang w:eastAsia="en-GB"/>
        </w:rPr>
        <w:t xml:space="preserve">atient </w:t>
      </w:r>
      <w:r>
        <w:rPr>
          <w:rFonts w:ascii="Arial" w:eastAsia="Times New Roman" w:hAnsi="Arial" w:cs="Arial"/>
          <w:color w:val="212529"/>
          <w:sz w:val="24"/>
          <w:szCs w:val="24"/>
          <w:lang w:eastAsia="en-GB"/>
        </w:rPr>
        <w:t>I</w:t>
      </w:r>
      <w:r w:rsidRPr="001E0628">
        <w:rPr>
          <w:rFonts w:ascii="Arial" w:eastAsia="Times New Roman" w:hAnsi="Arial" w:cs="Arial"/>
          <w:color w:val="212529"/>
          <w:sz w:val="24"/>
          <w:szCs w:val="24"/>
          <w:lang w:eastAsia="en-GB"/>
        </w:rPr>
        <w:t>nformation (CPI) - data that includes both:</w:t>
      </w:r>
    </w:p>
    <w:p w14:paraId="3DCC3FD3" w14:textId="77777777" w:rsidR="001E0628" w:rsidRPr="001E0628" w:rsidRDefault="001E0628" w:rsidP="001E0628">
      <w:pPr>
        <w:numPr>
          <w:ilvl w:val="0"/>
          <w:numId w:val="1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1E0628">
        <w:rPr>
          <w:rFonts w:ascii="Arial" w:eastAsia="Times New Roman" w:hAnsi="Arial" w:cs="Arial"/>
          <w:color w:val="212529"/>
          <w:sz w:val="24"/>
          <w:szCs w:val="24"/>
          <w:lang w:eastAsia="en-GB"/>
        </w:rPr>
        <w:t>information that identifies or could be used to identify the service user</w:t>
      </w:r>
    </w:p>
    <w:p w14:paraId="5FB94E01" w14:textId="77777777" w:rsidR="001E0628" w:rsidRPr="001E0628" w:rsidRDefault="001E0628" w:rsidP="001E0628">
      <w:pPr>
        <w:numPr>
          <w:ilvl w:val="0"/>
          <w:numId w:val="1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1E0628">
        <w:rPr>
          <w:rFonts w:ascii="Arial" w:eastAsia="Times New Roman" w:hAnsi="Arial" w:cs="Arial"/>
          <w:color w:val="212529"/>
          <w:sz w:val="24"/>
          <w:szCs w:val="24"/>
          <w:lang w:eastAsia="en-GB"/>
        </w:rPr>
        <w:t>information about their physical or mental health, care or treatment</w:t>
      </w:r>
    </w:p>
    <w:p w14:paraId="1B5B3906" w14:textId="35D517AF" w:rsidR="0042381A" w:rsidRPr="00F51E4A" w:rsidRDefault="001E0628" w:rsidP="00D6420C">
      <w:pPr>
        <w:ind w:left="720"/>
      </w:pPr>
      <w:r w:rsidRPr="001E0628">
        <w:rPr>
          <w:rFonts w:ascii="Arial" w:eastAsia="Times New Roman" w:hAnsi="Arial" w:cs="Arial"/>
          <w:color w:val="212529"/>
          <w:sz w:val="24"/>
          <w:szCs w:val="24"/>
          <w:lang w:eastAsia="en-GB"/>
        </w:rPr>
        <w:t>And is given in circumstances where the individual is owed an obligation of confidence.</w:t>
      </w:r>
    </w:p>
    <w:p w14:paraId="15A760CA" w14:textId="77777777" w:rsidR="0042381A" w:rsidRPr="00D6420C" w:rsidRDefault="0042381A" w:rsidP="0042381A">
      <w:pPr>
        <w:rPr>
          <w:sz w:val="24"/>
          <w:szCs w:val="24"/>
        </w:rPr>
      </w:pPr>
      <w:r w:rsidRPr="00D6420C">
        <w:rPr>
          <w:sz w:val="24"/>
          <w:szCs w:val="24"/>
        </w:rPr>
        <w:lastRenderedPageBreak/>
        <w:t xml:space="preserve">The Opt-Out does not apply to data that has been anonymised in line with the ICO guidance. </w:t>
      </w:r>
    </w:p>
    <w:p w14:paraId="5138F568" w14:textId="77777777" w:rsidR="0042381A" w:rsidRPr="00D6420C" w:rsidRDefault="0042381A" w:rsidP="0042381A">
      <w:pPr>
        <w:rPr>
          <w:sz w:val="24"/>
          <w:szCs w:val="24"/>
        </w:rPr>
      </w:pPr>
    </w:p>
    <w:p w14:paraId="112B7053" w14:textId="77777777" w:rsidR="00F12274" w:rsidRPr="00D6420C" w:rsidRDefault="001E0628" w:rsidP="0042381A">
      <w:pPr>
        <w:rPr>
          <w:color w:val="70AD47" w:themeColor="accent6"/>
          <w:sz w:val="24"/>
          <w:szCs w:val="24"/>
        </w:rPr>
      </w:pPr>
      <w:r w:rsidRPr="00D6420C">
        <w:rPr>
          <w:b/>
          <w:bCs/>
          <w:color w:val="70AD47" w:themeColor="accent6"/>
          <w:sz w:val="24"/>
          <w:szCs w:val="24"/>
        </w:rPr>
        <w:t xml:space="preserve">Exceptions on data </w:t>
      </w:r>
      <w:r w:rsidR="0042381A" w:rsidRPr="00D6420C">
        <w:rPr>
          <w:b/>
          <w:bCs/>
          <w:color w:val="70AD47" w:themeColor="accent6"/>
          <w:sz w:val="24"/>
          <w:szCs w:val="24"/>
        </w:rPr>
        <w:t>Opt-Out</w:t>
      </w:r>
    </w:p>
    <w:p w14:paraId="4A80D5F3" w14:textId="77777777" w:rsidR="00F12274" w:rsidRPr="00D6420C" w:rsidRDefault="001E0628" w:rsidP="0042381A">
      <w:pPr>
        <w:rPr>
          <w:b/>
          <w:bCs/>
          <w:sz w:val="24"/>
          <w:szCs w:val="24"/>
        </w:rPr>
      </w:pPr>
      <w:r w:rsidRPr="00D6420C">
        <w:rPr>
          <w:b/>
          <w:bCs/>
          <w:sz w:val="24"/>
          <w:szCs w:val="24"/>
        </w:rPr>
        <w:t>Invoice validation:</w:t>
      </w:r>
    </w:p>
    <w:p w14:paraId="5652C649" w14:textId="07A308A3" w:rsidR="001E0628" w:rsidRDefault="0042381A" w:rsidP="0042381A">
      <w:pPr>
        <w:rPr>
          <w:sz w:val="24"/>
          <w:szCs w:val="24"/>
        </w:rPr>
      </w:pPr>
      <w:r w:rsidRPr="00D6420C">
        <w:rPr>
          <w:sz w:val="24"/>
          <w:szCs w:val="24"/>
        </w:rPr>
        <w:t>Data Opt-Out does not apply to invo</w:t>
      </w:r>
      <w:r w:rsidR="001E0628">
        <w:rPr>
          <w:sz w:val="24"/>
          <w:szCs w:val="24"/>
        </w:rPr>
        <w:t>ice</w:t>
      </w:r>
      <w:r w:rsidRPr="00D6420C">
        <w:rPr>
          <w:sz w:val="24"/>
          <w:szCs w:val="24"/>
        </w:rPr>
        <w:t xml:space="preserve"> validation</w:t>
      </w:r>
      <w:r w:rsidR="001E0628">
        <w:rPr>
          <w:sz w:val="24"/>
          <w:szCs w:val="24"/>
        </w:rPr>
        <w:t>.</w:t>
      </w:r>
      <w:r w:rsidRPr="00D6420C">
        <w:rPr>
          <w:sz w:val="24"/>
          <w:szCs w:val="24"/>
        </w:rPr>
        <w:t xml:space="preserve"> It specifically does not apply to invoice validation for non-contracted activity. For contracted activity anonymised data should be used. </w:t>
      </w:r>
    </w:p>
    <w:p w14:paraId="4B9CB527" w14:textId="0CF60CB9" w:rsidR="00F12274" w:rsidRPr="00D6420C" w:rsidRDefault="0042381A" w:rsidP="0042381A">
      <w:pPr>
        <w:rPr>
          <w:sz w:val="24"/>
          <w:szCs w:val="24"/>
        </w:rPr>
      </w:pPr>
      <w:r w:rsidRPr="00D6420C">
        <w:rPr>
          <w:sz w:val="24"/>
          <w:szCs w:val="24"/>
        </w:rPr>
        <w:t xml:space="preserve">The Opt-Out does not apply where the person who uses services has given their explicit consent for use of their data for payment and invoice validation. </w:t>
      </w:r>
    </w:p>
    <w:p w14:paraId="55DE65E5" w14:textId="77777777" w:rsidR="0042381A" w:rsidRPr="00D6420C" w:rsidRDefault="0042381A" w:rsidP="0042381A">
      <w:pPr>
        <w:rPr>
          <w:b/>
          <w:bCs/>
          <w:sz w:val="24"/>
          <w:szCs w:val="24"/>
        </w:rPr>
      </w:pPr>
      <w:r w:rsidRPr="00D6420C">
        <w:rPr>
          <w:b/>
          <w:bCs/>
          <w:sz w:val="24"/>
          <w:szCs w:val="24"/>
        </w:rPr>
        <w:t xml:space="preserve">Risk Stratification </w:t>
      </w:r>
    </w:p>
    <w:p w14:paraId="4FF7DC08" w14:textId="77777777" w:rsidR="0042381A" w:rsidRPr="00D6420C" w:rsidRDefault="001E0628" w:rsidP="0042381A">
      <w:pPr>
        <w:numPr>
          <w:ilvl w:val="0"/>
          <w:numId w:val="11"/>
        </w:numPr>
        <w:rPr>
          <w:sz w:val="24"/>
          <w:szCs w:val="24"/>
        </w:rPr>
      </w:pPr>
      <w:r w:rsidRPr="00D6420C">
        <w:rPr>
          <w:sz w:val="24"/>
          <w:szCs w:val="24"/>
        </w:rPr>
        <w:t xml:space="preserve">National data </w:t>
      </w:r>
      <w:r w:rsidR="0042381A" w:rsidRPr="00D6420C">
        <w:rPr>
          <w:sz w:val="24"/>
          <w:szCs w:val="24"/>
        </w:rPr>
        <w:t>Opt-Out</w:t>
      </w:r>
      <w:r w:rsidRPr="00D6420C">
        <w:rPr>
          <w:sz w:val="24"/>
          <w:szCs w:val="24"/>
        </w:rPr>
        <w:t xml:space="preserve">s do not apply to risk stratification for case finding where carried out by a provider for individual care as this should be treated </w:t>
      </w:r>
      <w:r w:rsidR="0042381A" w:rsidRPr="00D6420C">
        <w:rPr>
          <w:sz w:val="24"/>
          <w:szCs w:val="24"/>
        </w:rPr>
        <w:t>an</w:t>
      </w:r>
      <w:r w:rsidRPr="00D6420C">
        <w:rPr>
          <w:sz w:val="24"/>
          <w:szCs w:val="24"/>
        </w:rPr>
        <w:t xml:space="preserve"> individual care</w:t>
      </w:r>
      <w:r w:rsidR="0042381A" w:rsidRPr="00D6420C">
        <w:rPr>
          <w:sz w:val="24"/>
          <w:szCs w:val="24"/>
        </w:rPr>
        <w:t>.</w:t>
      </w:r>
    </w:p>
    <w:p w14:paraId="72C0F093" w14:textId="77777777" w:rsidR="0042381A" w:rsidRPr="00D6420C" w:rsidRDefault="0042381A" w:rsidP="0042381A">
      <w:pPr>
        <w:numPr>
          <w:ilvl w:val="0"/>
          <w:numId w:val="11"/>
        </w:numPr>
        <w:rPr>
          <w:sz w:val="24"/>
          <w:szCs w:val="24"/>
        </w:rPr>
      </w:pPr>
      <w:r w:rsidRPr="00D6420C">
        <w:rPr>
          <w:sz w:val="24"/>
          <w:szCs w:val="24"/>
        </w:rPr>
        <w:t>National data Opt-Outs do not apply where the data for risk stratification is anonymised in line with the ICO Code of Practice and Anonymisation.</w:t>
      </w:r>
    </w:p>
    <w:p w14:paraId="6EDA3727" w14:textId="77777777" w:rsidR="0042381A" w:rsidRPr="00D6420C" w:rsidRDefault="0042381A" w:rsidP="0042381A">
      <w:pPr>
        <w:numPr>
          <w:ilvl w:val="0"/>
          <w:numId w:val="11"/>
        </w:numPr>
        <w:rPr>
          <w:sz w:val="24"/>
          <w:szCs w:val="24"/>
        </w:rPr>
      </w:pPr>
      <w:r w:rsidRPr="00D6420C">
        <w:rPr>
          <w:sz w:val="24"/>
          <w:szCs w:val="24"/>
        </w:rPr>
        <w:t>National data Opt-Outs do apply to data disclosures for the risk stratification which rely on section 251 support unless the standard condition requiring patient Opt-Outs to be respected is waived.</w:t>
      </w:r>
    </w:p>
    <w:p w14:paraId="4482C7D5" w14:textId="77777777" w:rsidR="0042381A" w:rsidRPr="00D6420C" w:rsidRDefault="0042381A" w:rsidP="0042381A">
      <w:pPr>
        <w:rPr>
          <w:sz w:val="24"/>
          <w:szCs w:val="24"/>
        </w:rPr>
      </w:pPr>
    </w:p>
    <w:p w14:paraId="6839092C" w14:textId="0399CFE6" w:rsidR="0042381A" w:rsidRDefault="001E0628" w:rsidP="0042381A">
      <w:pPr>
        <w:rPr>
          <w:b/>
          <w:bCs/>
          <w:color w:val="70AD47" w:themeColor="accent6"/>
          <w:sz w:val="24"/>
          <w:szCs w:val="24"/>
        </w:rPr>
      </w:pPr>
      <w:r w:rsidRPr="00D6420C">
        <w:rPr>
          <w:b/>
          <w:bCs/>
          <w:color w:val="70AD47" w:themeColor="accent6"/>
          <w:sz w:val="24"/>
          <w:szCs w:val="24"/>
        </w:rPr>
        <w:t xml:space="preserve">What data </w:t>
      </w:r>
      <w:r w:rsidR="0042381A" w:rsidRPr="00D6420C">
        <w:rPr>
          <w:b/>
          <w:bCs/>
          <w:color w:val="70AD47" w:themeColor="accent6"/>
          <w:sz w:val="24"/>
          <w:szCs w:val="24"/>
        </w:rPr>
        <w:t>is not affected?</w:t>
      </w:r>
    </w:p>
    <w:p w14:paraId="0DDA4DC3" w14:textId="77777777" w:rsidR="00D6420C" w:rsidRPr="00D6420C" w:rsidRDefault="00D6420C" w:rsidP="00D6420C">
      <w:pPr>
        <w:rPr>
          <w:b/>
          <w:bCs/>
          <w:sz w:val="24"/>
          <w:szCs w:val="24"/>
        </w:rPr>
      </w:pPr>
      <w:r w:rsidRPr="00D6420C">
        <w:rPr>
          <w:b/>
          <w:bCs/>
          <w:sz w:val="24"/>
          <w:szCs w:val="24"/>
        </w:rPr>
        <w:t xml:space="preserve">Communicable disease and Risk to Public Health </w:t>
      </w:r>
    </w:p>
    <w:p w14:paraId="0AE5DA4E" w14:textId="77777777" w:rsidR="00D6420C" w:rsidRPr="00D6420C" w:rsidRDefault="00D6420C" w:rsidP="00D6420C">
      <w:pPr>
        <w:rPr>
          <w:sz w:val="24"/>
          <w:szCs w:val="24"/>
        </w:rPr>
      </w:pPr>
      <w:r w:rsidRPr="00D6420C">
        <w:rPr>
          <w:sz w:val="24"/>
          <w:szCs w:val="24"/>
        </w:rPr>
        <w:t>The national data Opt-Out does not apply to the disclosure of patient information required for monitoring and control of communicable disease and other risks to public health. This includes any data disclosed where Regulation 3 of The Health Service Regulations 2002 provides the awful basis for common law duty of confidentiality to be lifted. (</w:t>
      </w:r>
      <w:r w:rsidRPr="00D6420C">
        <w:rPr>
          <w:i/>
          <w:iCs/>
          <w:sz w:val="24"/>
          <w:szCs w:val="24"/>
        </w:rPr>
        <w:t>Section 251, pg4</w:t>
      </w:r>
      <w:r w:rsidRPr="00D6420C">
        <w:rPr>
          <w:sz w:val="24"/>
          <w:szCs w:val="24"/>
        </w:rPr>
        <w:t>)</w:t>
      </w:r>
    </w:p>
    <w:p w14:paraId="2EF4991C" w14:textId="77777777" w:rsidR="00D6420C" w:rsidRPr="00D6420C" w:rsidRDefault="00D6420C" w:rsidP="00D6420C">
      <w:pPr>
        <w:rPr>
          <w:b/>
          <w:bCs/>
          <w:sz w:val="24"/>
          <w:szCs w:val="24"/>
        </w:rPr>
      </w:pPr>
      <w:r w:rsidRPr="00D6420C">
        <w:rPr>
          <w:b/>
          <w:bCs/>
          <w:sz w:val="24"/>
          <w:szCs w:val="24"/>
        </w:rPr>
        <w:t xml:space="preserve">Public Interest </w:t>
      </w:r>
    </w:p>
    <w:p w14:paraId="78A2988A" w14:textId="77777777" w:rsidR="00D6420C" w:rsidRPr="00D6420C" w:rsidRDefault="00D6420C" w:rsidP="00D6420C">
      <w:pPr>
        <w:rPr>
          <w:sz w:val="24"/>
          <w:szCs w:val="24"/>
        </w:rPr>
      </w:pPr>
      <w:r w:rsidRPr="00D6420C">
        <w:rPr>
          <w:sz w:val="24"/>
          <w:szCs w:val="24"/>
        </w:rPr>
        <w:t>The national data Opt-Out does not apply to the disclosure of confidential information of the person who uses health and social care services where there is an overriding public interest in the disclosure.</w:t>
      </w:r>
    </w:p>
    <w:p w14:paraId="10C2F061" w14:textId="77777777" w:rsidR="00D6420C" w:rsidRPr="00D6420C" w:rsidRDefault="00D6420C" w:rsidP="00D6420C">
      <w:pPr>
        <w:rPr>
          <w:b/>
          <w:bCs/>
          <w:sz w:val="24"/>
          <w:szCs w:val="24"/>
        </w:rPr>
      </w:pPr>
      <w:r w:rsidRPr="00D6420C">
        <w:rPr>
          <w:b/>
          <w:bCs/>
          <w:sz w:val="24"/>
          <w:szCs w:val="24"/>
        </w:rPr>
        <w:t xml:space="preserve">Direct Care </w:t>
      </w:r>
    </w:p>
    <w:p w14:paraId="218C71A9" w14:textId="77777777" w:rsidR="00D6420C" w:rsidRPr="00D6420C" w:rsidRDefault="00D6420C" w:rsidP="00D6420C">
      <w:pPr>
        <w:rPr>
          <w:sz w:val="24"/>
          <w:szCs w:val="24"/>
        </w:rPr>
      </w:pPr>
      <w:r w:rsidRPr="00D6420C">
        <w:rPr>
          <w:sz w:val="24"/>
          <w:szCs w:val="24"/>
        </w:rPr>
        <w:t>The national data Opt-Out does not apply to direct care as mentioned earlier in the policy.</w:t>
      </w:r>
    </w:p>
    <w:p w14:paraId="3EC96E4A" w14:textId="77777777" w:rsidR="00D6420C" w:rsidRPr="00D6420C" w:rsidRDefault="00D6420C" w:rsidP="0042381A">
      <w:pPr>
        <w:rPr>
          <w:b/>
          <w:bCs/>
          <w:color w:val="70AD47" w:themeColor="accent6"/>
          <w:sz w:val="24"/>
          <w:szCs w:val="24"/>
        </w:rPr>
      </w:pPr>
    </w:p>
    <w:p w14:paraId="6F21D22B" w14:textId="77777777" w:rsidR="0042381A" w:rsidRPr="00D6420C" w:rsidRDefault="0042381A" w:rsidP="0042381A">
      <w:pPr>
        <w:rPr>
          <w:b/>
          <w:bCs/>
          <w:sz w:val="24"/>
          <w:szCs w:val="24"/>
        </w:rPr>
      </w:pPr>
      <w:r w:rsidRPr="00D6420C">
        <w:rPr>
          <w:b/>
          <w:bCs/>
          <w:sz w:val="24"/>
          <w:szCs w:val="24"/>
        </w:rPr>
        <w:t xml:space="preserve">Consent </w:t>
      </w:r>
    </w:p>
    <w:p w14:paraId="7F88BF1E" w14:textId="17C114C7" w:rsidR="0042381A" w:rsidRPr="00D6420C" w:rsidRDefault="0042381A" w:rsidP="0042381A">
      <w:pPr>
        <w:rPr>
          <w:sz w:val="24"/>
          <w:szCs w:val="24"/>
        </w:rPr>
      </w:pPr>
      <w:r w:rsidRPr="00D6420C">
        <w:rPr>
          <w:sz w:val="24"/>
          <w:szCs w:val="24"/>
        </w:rPr>
        <w:lastRenderedPageBreak/>
        <w:t>The data Opt-Out does not apply where explicit consent has been obtained from the person who uses health and/or social care services, for a specific purpose. This might include a person previously opted out but wishes for the data to be processed for a specific purpose Th</w:t>
      </w:r>
      <w:r w:rsidR="001E0628">
        <w:rPr>
          <w:sz w:val="24"/>
          <w:szCs w:val="24"/>
        </w:rPr>
        <w:t>e</w:t>
      </w:r>
      <w:r w:rsidRPr="00D6420C">
        <w:rPr>
          <w:sz w:val="24"/>
          <w:szCs w:val="24"/>
        </w:rPr>
        <w:t xml:space="preserve"> consent would override the national data Opt-Out and data would be processed </w:t>
      </w:r>
      <w:r w:rsidR="001E0628">
        <w:rPr>
          <w:sz w:val="24"/>
          <w:szCs w:val="24"/>
        </w:rPr>
        <w:t>f</w:t>
      </w:r>
      <w:r w:rsidRPr="00D6420C">
        <w:rPr>
          <w:sz w:val="24"/>
          <w:szCs w:val="24"/>
        </w:rPr>
        <w:t>or that specific purpose only. Other information that is not covered by the explicit consent would still be subject to the Opt-Out if applied.</w:t>
      </w:r>
    </w:p>
    <w:p w14:paraId="15680BA2" w14:textId="53931161" w:rsidR="001C10FE" w:rsidRPr="00D6420C" w:rsidRDefault="001C10FE" w:rsidP="001C10FE">
      <w:pPr>
        <w:shd w:val="clear" w:color="auto" w:fill="FFFFFF"/>
        <w:tabs>
          <w:tab w:val="left" w:pos="7101"/>
        </w:tabs>
        <w:spacing w:after="300" w:line="405" w:lineRule="atLeast"/>
        <w:rPr>
          <w:b/>
          <w:bCs/>
          <w:sz w:val="24"/>
          <w:szCs w:val="24"/>
          <w:u w:val="single"/>
        </w:rPr>
      </w:pPr>
      <w:r w:rsidRPr="00D6420C">
        <w:rPr>
          <w:b/>
          <w:bCs/>
          <w:sz w:val="24"/>
          <w:szCs w:val="24"/>
          <w:u w:val="single"/>
        </w:rPr>
        <w:tab/>
      </w:r>
    </w:p>
    <w:p w14:paraId="41BD5A52" w14:textId="752BE494" w:rsidR="00C14D25" w:rsidRPr="00D6420C" w:rsidRDefault="00C14D25" w:rsidP="00C14D25">
      <w:pPr>
        <w:shd w:val="clear" w:color="auto" w:fill="FFFFFF"/>
        <w:spacing w:after="300" w:line="405" w:lineRule="atLeast"/>
        <w:rPr>
          <w:b/>
          <w:bCs/>
          <w:sz w:val="24"/>
          <w:szCs w:val="24"/>
          <w:u w:val="single"/>
        </w:rPr>
      </w:pPr>
      <w:r w:rsidRPr="00D6420C">
        <w:rPr>
          <w:b/>
          <w:bCs/>
          <w:sz w:val="24"/>
          <w:szCs w:val="24"/>
          <w:u w:val="single"/>
        </w:rPr>
        <w:t xml:space="preserve">References </w:t>
      </w:r>
    </w:p>
    <w:p w14:paraId="183EE5F7" w14:textId="77777777" w:rsidR="00C14D25" w:rsidRPr="00D6420C" w:rsidRDefault="00C14D25" w:rsidP="00C14D25">
      <w:pPr>
        <w:shd w:val="clear" w:color="auto" w:fill="FFFFFF"/>
        <w:spacing w:after="300" w:line="405" w:lineRule="atLeast"/>
        <w:rPr>
          <w:sz w:val="24"/>
          <w:szCs w:val="24"/>
        </w:rPr>
      </w:pPr>
      <w:r w:rsidRPr="00D6420C">
        <w:rPr>
          <w:sz w:val="24"/>
          <w:szCs w:val="24"/>
        </w:rPr>
        <w:t xml:space="preserve">The National Data Opt-Out Policy and Guidance Document </w:t>
      </w:r>
    </w:p>
    <w:p w14:paraId="4008F6F8" w14:textId="77777777" w:rsidR="00C14D25" w:rsidRPr="00D6420C" w:rsidRDefault="00C14D25" w:rsidP="00C14D25">
      <w:pPr>
        <w:shd w:val="clear" w:color="auto" w:fill="FFFFFF"/>
        <w:spacing w:after="300" w:line="405" w:lineRule="atLeast"/>
        <w:rPr>
          <w:sz w:val="24"/>
          <w:szCs w:val="24"/>
        </w:rPr>
      </w:pPr>
      <w:r w:rsidRPr="00D6420C">
        <w:rPr>
          <w:sz w:val="24"/>
          <w:szCs w:val="24"/>
        </w:rPr>
        <w:t xml:space="preserve">General Data Protection Regulations </w:t>
      </w:r>
    </w:p>
    <w:p w14:paraId="32F75173" w14:textId="651EF5F7" w:rsidR="00C14D25" w:rsidRPr="00D6420C" w:rsidRDefault="00C14D25" w:rsidP="00C14D25">
      <w:pPr>
        <w:shd w:val="clear" w:color="auto" w:fill="FFFFFF"/>
        <w:spacing w:after="300" w:line="405" w:lineRule="atLeast"/>
        <w:rPr>
          <w:sz w:val="24"/>
          <w:szCs w:val="24"/>
        </w:rPr>
      </w:pPr>
      <w:r w:rsidRPr="00D6420C">
        <w:rPr>
          <w:sz w:val="24"/>
          <w:szCs w:val="24"/>
        </w:rPr>
        <w:t>Data Protection Act</w:t>
      </w:r>
      <w:r w:rsidR="001E0628">
        <w:rPr>
          <w:sz w:val="24"/>
          <w:szCs w:val="24"/>
        </w:rPr>
        <w:t xml:space="preserve"> 2018</w:t>
      </w:r>
    </w:p>
    <w:p w14:paraId="54FC7BF2" w14:textId="148F1B33" w:rsidR="00C14D25" w:rsidRPr="00D6420C" w:rsidRDefault="00C14D25" w:rsidP="00C14D25">
      <w:pPr>
        <w:shd w:val="clear" w:color="auto" w:fill="FFFFFF"/>
        <w:spacing w:after="300" w:line="405" w:lineRule="atLeast"/>
        <w:rPr>
          <w:sz w:val="24"/>
          <w:szCs w:val="24"/>
        </w:rPr>
      </w:pPr>
      <w:r w:rsidRPr="00D6420C">
        <w:rPr>
          <w:rFonts w:ascii="Calibri" w:hAnsi="Calibri" w:cs="Calibri"/>
          <w:color w:val="000000"/>
          <w:sz w:val="24"/>
          <w:szCs w:val="24"/>
        </w:rPr>
        <w:t>Freedom of Information Act 2000 (FOIA)</w:t>
      </w:r>
    </w:p>
    <w:tbl>
      <w:tblPr>
        <w:tblpPr w:leftFromText="180" w:rightFromText="180" w:bottomFromText="155" w:vertAnchor="text"/>
        <w:tblW w:w="9498" w:type="dxa"/>
        <w:tblCellMar>
          <w:left w:w="0" w:type="dxa"/>
          <w:right w:w="0" w:type="dxa"/>
        </w:tblCellMar>
        <w:tblLook w:val="04A0" w:firstRow="1" w:lastRow="0" w:firstColumn="1" w:lastColumn="0" w:noHBand="0" w:noVBand="1"/>
      </w:tblPr>
      <w:tblGrid>
        <w:gridCol w:w="4147"/>
        <w:gridCol w:w="5351"/>
      </w:tblGrid>
      <w:tr w:rsidR="00526526" w14:paraId="5AA1C8F2" w14:textId="77777777" w:rsidTr="00526526">
        <w:trPr>
          <w:trHeight w:val="250"/>
        </w:trPr>
        <w:tc>
          <w:tcPr>
            <w:tcW w:w="4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98939E" w14:textId="77777777" w:rsidR="00526526" w:rsidRDefault="00526526" w:rsidP="0067053F">
            <w:pPr>
              <w:rPr>
                <w:rFonts w:ascii="Arial" w:hAnsi="Arial" w:cs="Arial"/>
              </w:rPr>
            </w:pPr>
            <w:r>
              <w:rPr>
                <w:rFonts w:ascii="Arial" w:hAnsi="Arial" w:cs="Arial"/>
              </w:rPr>
              <w:t>Author:</w:t>
            </w:r>
          </w:p>
        </w:tc>
        <w:tc>
          <w:tcPr>
            <w:tcW w:w="5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B84A" w14:textId="5BEE5371" w:rsidR="00526526" w:rsidRDefault="00526526" w:rsidP="0067053F">
            <w:pPr>
              <w:rPr>
                <w:rFonts w:ascii="Arial" w:hAnsi="Arial" w:cs="Arial"/>
              </w:rPr>
            </w:pPr>
            <w:r w:rsidRPr="00526526">
              <w:rPr>
                <w:rFonts w:ascii="Arial" w:hAnsi="Arial" w:cs="Arial"/>
              </w:rPr>
              <w:t>Sitabile Pswarayi</w:t>
            </w:r>
          </w:p>
        </w:tc>
      </w:tr>
      <w:tr w:rsidR="00526526" w14:paraId="26869FD3" w14:textId="77777777" w:rsidTr="00526526">
        <w:trPr>
          <w:trHeight w:val="242"/>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6D27F" w14:textId="77777777" w:rsidR="00526526" w:rsidRDefault="00526526" w:rsidP="0067053F">
            <w:pPr>
              <w:rPr>
                <w:rFonts w:ascii="Arial" w:hAnsi="Arial" w:cs="Arial"/>
              </w:rPr>
            </w:pPr>
            <w:r>
              <w:rPr>
                <w:rFonts w:ascii="Arial" w:hAnsi="Arial" w:cs="Arial"/>
              </w:rPr>
              <w:t>Owner:</w:t>
            </w:r>
          </w:p>
        </w:tc>
        <w:tc>
          <w:tcPr>
            <w:tcW w:w="5351" w:type="dxa"/>
            <w:tcBorders>
              <w:top w:val="nil"/>
              <w:left w:val="nil"/>
              <w:bottom w:val="single" w:sz="8" w:space="0" w:color="auto"/>
              <w:right w:val="single" w:sz="8" w:space="0" w:color="auto"/>
            </w:tcBorders>
            <w:tcMar>
              <w:top w:w="0" w:type="dxa"/>
              <w:left w:w="108" w:type="dxa"/>
              <w:bottom w:w="0" w:type="dxa"/>
              <w:right w:w="108" w:type="dxa"/>
            </w:tcMar>
          </w:tcPr>
          <w:p w14:paraId="19E5F8CD" w14:textId="66B1CD99" w:rsidR="00526526" w:rsidRDefault="00526526" w:rsidP="0067053F">
            <w:pPr>
              <w:rPr>
                <w:rFonts w:ascii="Arial" w:hAnsi="Arial" w:cs="Arial"/>
              </w:rPr>
            </w:pPr>
            <w:r>
              <w:rPr>
                <w:rFonts w:ascii="Arial" w:hAnsi="Arial" w:cs="Arial"/>
              </w:rPr>
              <w:t>Graham Terry</w:t>
            </w:r>
          </w:p>
        </w:tc>
      </w:tr>
      <w:tr w:rsidR="00526526" w14:paraId="1E1132C7" w14:textId="77777777" w:rsidTr="00526526">
        <w:trPr>
          <w:trHeight w:val="25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E22D8" w14:textId="77777777" w:rsidR="00526526" w:rsidRDefault="00526526" w:rsidP="0067053F">
            <w:pPr>
              <w:rPr>
                <w:rFonts w:ascii="Arial" w:hAnsi="Arial" w:cs="Arial"/>
              </w:rPr>
            </w:pPr>
            <w:r>
              <w:rPr>
                <w:rFonts w:ascii="Arial" w:hAnsi="Arial" w:cs="Arial"/>
              </w:rPr>
              <w:t>Version:</w:t>
            </w:r>
          </w:p>
        </w:tc>
        <w:tc>
          <w:tcPr>
            <w:tcW w:w="5351" w:type="dxa"/>
            <w:tcBorders>
              <w:top w:val="nil"/>
              <w:left w:val="nil"/>
              <w:bottom w:val="single" w:sz="8" w:space="0" w:color="auto"/>
              <w:right w:val="single" w:sz="8" w:space="0" w:color="auto"/>
            </w:tcBorders>
            <w:tcMar>
              <w:top w:w="0" w:type="dxa"/>
              <w:left w:w="108" w:type="dxa"/>
              <w:bottom w:w="0" w:type="dxa"/>
              <w:right w:w="108" w:type="dxa"/>
            </w:tcMar>
          </w:tcPr>
          <w:p w14:paraId="547B6CFE" w14:textId="01D8FD68" w:rsidR="00526526" w:rsidRDefault="00526526" w:rsidP="0067053F">
            <w:pPr>
              <w:rPr>
                <w:rFonts w:ascii="Arial" w:hAnsi="Arial" w:cs="Arial"/>
              </w:rPr>
            </w:pPr>
            <w:r>
              <w:rPr>
                <w:rFonts w:ascii="Arial" w:hAnsi="Arial" w:cs="Arial"/>
              </w:rPr>
              <w:t>1</w:t>
            </w:r>
          </w:p>
        </w:tc>
      </w:tr>
      <w:tr w:rsidR="00526526" w14:paraId="4591946F" w14:textId="77777777" w:rsidTr="00526526">
        <w:trPr>
          <w:trHeight w:val="493"/>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5C25B" w14:textId="77777777" w:rsidR="00526526" w:rsidRDefault="00526526" w:rsidP="0067053F">
            <w:pPr>
              <w:rPr>
                <w:rFonts w:ascii="Arial" w:hAnsi="Arial" w:cs="Arial"/>
              </w:rPr>
            </w:pPr>
            <w:r>
              <w:rPr>
                <w:rFonts w:ascii="Arial" w:hAnsi="Arial" w:cs="Arial"/>
              </w:rPr>
              <w:t>Modified by</w:t>
            </w:r>
          </w:p>
        </w:tc>
        <w:tc>
          <w:tcPr>
            <w:tcW w:w="5351" w:type="dxa"/>
            <w:tcBorders>
              <w:top w:val="nil"/>
              <w:left w:val="nil"/>
              <w:bottom w:val="single" w:sz="8" w:space="0" w:color="auto"/>
              <w:right w:val="single" w:sz="8" w:space="0" w:color="auto"/>
            </w:tcBorders>
            <w:tcMar>
              <w:top w:w="0" w:type="dxa"/>
              <w:left w:w="108" w:type="dxa"/>
              <w:bottom w:w="0" w:type="dxa"/>
              <w:right w:w="108" w:type="dxa"/>
            </w:tcMar>
          </w:tcPr>
          <w:p w14:paraId="678DCA2A" w14:textId="54A7D960" w:rsidR="00526526" w:rsidRDefault="00526526" w:rsidP="0067053F">
            <w:pPr>
              <w:rPr>
                <w:rFonts w:ascii="Arial" w:hAnsi="Arial" w:cs="Arial"/>
              </w:rPr>
            </w:pPr>
            <w:r>
              <w:rPr>
                <w:rFonts w:ascii="Arial" w:hAnsi="Arial" w:cs="Arial"/>
              </w:rPr>
              <w:t>Vanessa Mahersmith, Binda Rana</w:t>
            </w:r>
          </w:p>
        </w:tc>
      </w:tr>
      <w:tr w:rsidR="00526526" w14:paraId="343B2B42" w14:textId="77777777" w:rsidTr="00526526">
        <w:trPr>
          <w:trHeight w:val="242"/>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844BB" w14:textId="77777777" w:rsidR="00526526" w:rsidRDefault="00526526" w:rsidP="0067053F">
            <w:pPr>
              <w:rPr>
                <w:rFonts w:ascii="Arial" w:hAnsi="Arial" w:cs="Arial"/>
              </w:rPr>
            </w:pPr>
            <w:r>
              <w:rPr>
                <w:rFonts w:ascii="Arial" w:hAnsi="Arial" w:cs="Arial"/>
              </w:rPr>
              <w:t>Date:</w:t>
            </w:r>
          </w:p>
        </w:tc>
        <w:tc>
          <w:tcPr>
            <w:tcW w:w="5351" w:type="dxa"/>
            <w:tcBorders>
              <w:top w:val="nil"/>
              <w:left w:val="nil"/>
              <w:bottom w:val="single" w:sz="8" w:space="0" w:color="auto"/>
              <w:right w:val="single" w:sz="8" w:space="0" w:color="auto"/>
            </w:tcBorders>
            <w:tcMar>
              <w:top w:w="0" w:type="dxa"/>
              <w:left w:w="108" w:type="dxa"/>
              <w:bottom w:w="0" w:type="dxa"/>
              <w:right w:w="108" w:type="dxa"/>
            </w:tcMar>
          </w:tcPr>
          <w:p w14:paraId="5B71B50A" w14:textId="212D8E35" w:rsidR="00526526" w:rsidRDefault="00526526" w:rsidP="0067053F">
            <w:pPr>
              <w:rPr>
                <w:rFonts w:ascii="Arial" w:hAnsi="Arial" w:cs="Arial"/>
              </w:rPr>
            </w:pPr>
            <w:r>
              <w:rPr>
                <w:rFonts w:ascii="Arial" w:hAnsi="Arial" w:cs="Arial"/>
              </w:rPr>
              <w:t>31.3.22</w:t>
            </w:r>
          </w:p>
        </w:tc>
      </w:tr>
      <w:tr w:rsidR="00526526" w14:paraId="68847562" w14:textId="77777777" w:rsidTr="00526526">
        <w:trPr>
          <w:trHeight w:val="25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48A9" w14:textId="77777777" w:rsidR="00526526" w:rsidRDefault="00526526" w:rsidP="0067053F">
            <w:pPr>
              <w:rPr>
                <w:rFonts w:ascii="Arial" w:hAnsi="Arial" w:cs="Arial"/>
              </w:rPr>
            </w:pPr>
            <w:r>
              <w:rPr>
                <w:rFonts w:ascii="Arial" w:hAnsi="Arial" w:cs="Arial"/>
              </w:rPr>
              <w:t>Review Date:</w:t>
            </w:r>
          </w:p>
        </w:tc>
        <w:tc>
          <w:tcPr>
            <w:tcW w:w="5351" w:type="dxa"/>
            <w:tcBorders>
              <w:top w:val="nil"/>
              <w:left w:val="nil"/>
              <w:bottom w:val="single" w:sz="8" w:space="0" w:color="auto"/>
              <w:right w:val="single" w:sz="8" w:space="0" w:color="auto"/>
            </w:tcBorders>
            <w:tcMar>
              <w:top w:w="0" w:type="dxa"/>
              <w:left w:w="108" w:type="dxa"/>
              <w:bottom w:w="0" w:type="dxa"/>
              <w:right w:w="108" w:type="dxa"/>
            </w:tcMar>
          </w:tcPr>
          <w:p w14:paraId="15AB5264" w14:textId="63F543FB" w:rsidR="00526526" w:rsidRDefault="00526526" w:rsidP="0067053F">
            <w:pPr>
              <w:rPr>
                <w:rFonts w:ascii="Arial" w:hAnsi="Arial" w:cs="Arial"/>
              </w:rPr>
            </w:pPr>
            <w:r>
              <w:rPr>
                <w:rFonts w:ascii="Arial" w:hAnsi="Arial" w:cs="Arial"/>
              </w:rPr>
              <w:t>1.3.2023</w:t>
            </w:r>
          </w:p>
        </w:tc>
      </w:tr>
    </w:tbl>
    <w:p w14:paraId="1E4DA067" w14:textId="77777777" w:rsidR="007404CF" w:rsidRPr="00D6420C" w:rsidRDefault="007404CF" w:rsidP="00333F42">
      <w:pPr>
        <w:rPr>
          <w:sz w:val="24"/>
          <w:szCs w:val="24"/>
        </w:rPr>
      </w:pPr>
    </w:p>
    <w:sectPr w:rsidR="007404CF" w:rsidRPr="00D6420C">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675B" w14:textId="77777777" w:rsidR="009C2799" w:rsidRDefault="009C2799" w:rsidP="009C2799">
      <w:pPr>
        <w:spacing w:after="0" w:line="240" w:lineRule="auto"/>
      </w:pPr>
      <w:r>
        <w:separator/>
      </w:r>
    </w:p>
  </w:endnote>
  <w:endnote w:type="continuationSeparator" w:id="0">
    <w:p w14:paraId="1F7096B5" w14:textId="77777777" w:rsidR="009C2799" w:rsidRDefault="009C2799" w:rsidP="009C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_sans_ligh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06C9" w14:textId="77777777" w:rsidR="009C2799" w:rsidRDefault="009C2799" w:rsidP="009C2799">
      <w:pPr>
        <w:spacing w:after="0" w:line="240" w:lineRule="auto"/>
      </w:pPr>
      <w:r>
        <w:separator/>
      </w:r>
    </w:p>
  </w:footnote>
  <w:footnote w:type="continuationSeparator" w:id="0">
    <w:p w14:paraId="08DCAACC" w14:textId="77777777" w:rsidR="009C2799" w:rsidRDefault="009C2799" w:rsidP="009C2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F609" w14:textId="3BC68E73" w:rsidR="009C2799" w:rsidRDefault="00F12274">
    <w:pPr>
      <w:pStyle w:val="Header"/>
    </w:pPr>
    <w:r>
      <w:rPr>
        <w:noProof/>
      </w:rPr>
      <w:pict w14:anchorId="5067D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77AD" w14:textId="6847BB47" w:rsidR="0042381A" w:rsidRDefault="0042381A">
    <w:pPr>
      <w:pStyle w:val="Header"/>
      <w:rPr>
        <w:noProof/>
      </w:rPr>
    </w:pPr>
    <w:r>
      <w:rPr>
        <w:noProof/>
      </w:rPr>
      <w:drawing>
        <wp:anchor distT="0" distB="0" distL="114300" distR="114300" simplePos="0" relativeHeight="251665408" behindDoc="0" locked="0" layoutInCell="1" allowOverlap="1" wp14:anchorId="2849C00F" wp14:editId="37BEAE50">
          <wp:simplePos x="0" y="0"/>
          <wp:positionH relativeFrom="column">
            <wp:posOffset>-673100</wp:posOffset>
          </wp:positionH>
          <wp:positionV relativeFrom="paragraph">
            <wp:posOffset>-309880</wp:posOffset>
          </wp:positionV>
          <wp:extent cx="2597150" cy="692785"/>
          <wp:effectExtent l="0" t="0" r="0" b="0"/>
          <wp:wrapSquare wrapText="bothSides"/>
          <wp:docPr id="1" name="Picture 1" descr="Sandwell-logo - Gambit N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well-logo - Gambit Na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C504678" wp14:editId="3DA87FCF">
          <wp:simplePos x="0" y="0"/>
          <wp:positionH relativeFrom="column">
            <wp:posOffset>5772150</wp:posOffset>
          </wp:positionH>
          <wp:positionV relativeFrom="paragraph">
            <wp:posOffset>-347980</wp:posOffset>
          </wp:positionV>
          <wp:extent cx="692150" cy="660400"/>
          <wp:effectExtent l="0" t="0" r="0" b="6350"/>
          <wp:wrapSquare wrapText="bothSides"/>
          <wp:docPr id="3" name="Picture 3" descr="JSNA - SANDWELL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SNA - SANDWELL TRENDS"/>
                  <pic:cNvPicPr>
                    <a:picLocks noChangeAspect="1" noChangeArrowheads="1"/>
                  </pic:cNvPicPr>
                </pic:nvPicPr>
                <pic:blipFill rotWithShape="1">
                  <a:blip r:embed="rId2">
                    <a:extLst>
                      <a:ext uri="{28A0092B-C50C-407E-A947-70E740481C1C}">
                        <a14:useLocalDpi xmlns:a14="http://schemas.microsoft.com/office/drawing/2010/main" val="0"/>
                      </a:ext>
                    </a:extLst>
                  </a:blip>
                  <a:srcRect l="874" t="3139" r="67394" b="3587"/>
                  <a:stretch/>
                </pic:blipFill>
                <pic:spPr bwMode="auto">
                  <a:xfrm>
                    <a:off x="0" y="0"/>
                    <a:ext cx="692150" cy="66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CD9C0A" w14:textId="165F7CE9" w:rsidR="009C2799" w:rsidRDefault="00F12274">
    <w:pPr>
      <w:pStyle w:val="Header"/>
    </w:pPr>
    <w:r>
      <w:rPr>
        <w:noProof/>
      </w:rPr>
      <w:pict w14:anchorId="315E1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7pt;height:270.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1C63" w14:textId="1B1A61EA" w:rsidR="009C2799" w:rsidRDefault="009C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9B5"/>
    <w:multiLevelType w:val="hybridMultilevel"/>
    <w:tmpl w:val="2C9A54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134"/>
    <w:multiLevelType w:val="hybridMultilevel"/>
    <w:tmpl w:val="88C8F3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76F44"/>
    <w:multiLevelType w:val="multilevel"/>
    <w:tmpl w:val="8BB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47943"/>
    <w:multiLevelType w:val="multilevel"/>
    <w:tmpl w:val="BA1C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60910"/>
    <w:multiLevelType w:val="hybridMultilevel"/>
    <w:tmpl w:val="C256DA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627A4E"/>
    <w:multiLevelType w:val="hybridMultilevel"/>
    <w:tmpl w:val="CC08F9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133EE"/>
    <w:multiLevelType w:val="hybridMultilevel"/>
    <w:tmpl w:val="03A4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F5D4C"/>
    <w:multiLevelType w:val="hybridMultilevel"/>
    <w:tmpl w:val="01A0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72291"/>
    <w:multiLevelType w:val="multilevel"/>
    <w:tmpl w:val="993A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C7B7D"/>
    <w:multiLevelType w:val="hybridMultilevel"/>
    <w:tmpl w:val="5586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3411BD"/>
    <w:multiLevelType w:val="hybridMultilevel"/>
    <w:tmpl w:val="AFD872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786895"/>
    <w:multiLevelType w:val="multilevel"/>
    <w:tmpl w:val="DE50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7074BC"/>
    <w:multiLevelType w:val="hybridMultilevel"/>
    <w:tmpl w:val="3E128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731120">
    <w:abstractNumId w:val="2"/>
  </w:num>
  <w:num w:numId="2" w16cid:durableId="837156985">
    <w:abstractNumId w:val="3"/>
  </w:num>
  <w:num w:numId="3" w16cid:durableId="2075352303">
    <w:abstractNumId w:val="11"/>
  </w:num>
  <w:num w:numId="4" w16cid:durableId="1719166884">
    <w:abstractNumId w:val="6"/>
  </w:num>
  <w:num w:numId="5" w16cid:durableId="909848334">
    <w:abstractNumId w:val="4"/>
  </w:num>
  <w:num w:numId="6" w16cid:durableId="304821532">
    <w:abstractNumId w:val="7"/>
  </w:num>
  <w:num w:numId="7" w16cid:durableId="1459911025">
    <w:abstractNumId w:val="9"/>
  </w:num>
  <w:num w:numId="8" w16cid:durableId="768042740">
    <w:abstractNumId w:val="1"/>
  </w:num>
  <w:num w:numId="9" w16cid:durableId="1671449275">
    <w:abstractNumId w:val="5"/>
  </w:num>
  <w:num w:numId="10" w16cid:durableId="1573932832">
    <w:abstractNumId w:val="0"/>
  </w:num>
  <w:num w:numId="11" w16cid:durableId="59450643">
    <w:abstractNumId w:val="12"/>
  </w:num>
  <w:num w:numId="12" w16cid:durableId="1972636355">
    <w:abstractNumId w:val="8"/>
  </w:num>
  <w:num w:numId="13" w16cid:durableId="499003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42"/>
    <w:rsid w:val="00000963"/>
    <w:rsid w:val="00016948"/>
    <w:rsid w:val="001C10FE"/>
    <w:rsid w:val="001E0628"/>
    <w:rsid w:val="00267D88"/>
    <w:rsid w:val="002F63A4"/>
    <w:rsid w:val="00333F42"/>
    <w:rsid w:val="003F7091"/>
    <w:rsid w:val="0042381A"/>
    <w:rsid w:val="004F28DB"/>
    <w:rsid w:val="00526526"/>
    <w:rsid w:val="00533039"/>
    <w:rsid w:val="00643CCE"/>
    <w:rsid w:val="007404CF"/>
    <w:rsid w:val="0080539E"/>
    <w:rsid w:val="00962874"/>
    <w:rsid w:val="009B7299"/>
    <w:rsid w:val="009C2799"/>
    <w:rsid w:val="00A40927"/>
    <w:rsid w:val="00B237CB"/>
    <w:rsid w:val="00B92C67"/>
    <w:rsid w:val="00BD3ABF"/>
    <w:rsid w:val="00C14D25"/>
    <w:rsid w:val="00D36BDA"/>
    <w:rsid w:val="00D6420C"/>
    <w:rsid w:val="00F1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6802E9"/>
  <w15:chartTrackingRefBased/>
  <w15:docId w15:val="{25848F90-366E-451D-8C32-692E316A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04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404C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F4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7404C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404C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404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404CF"/>
    <w:rPr>
      <w:i/>
      <w:iCs/>
    </w:rPr>
  </w:style>
  <w:style w:type="character" w:styleId="Hyperlink">
    <w:name w:val="Hyperlink"/>
    <w:basedOn w:val="DefaultParagraphFont"/>
    <w:uiPriority w:val="99"/>
    <w:unhideWhenUsed/>
    <w:rsid w:val="007404CF"/>
    <w:rPr>
      <w:color w:val="0000FF"/>
      <w:u w:val="single"/>
    </w:rPr>
  </w:style>
  <w:style w:type="paragraph" w:styleId="ListParagraph">
    <w:name w:val="List Paragraph"/>
    <w:basedOn w:val="Normal"/>
    <w:uiPriority w:val="34"/>
    <w:qFormat/>
    <w:rsid w:val="003F7091"/>
    <w:pPr>
      <w:ind w:left="720"/>
      <w:contextualSpacing/>
    </w:pPr>
  </w:style>
  <w:style w:type="paragraph" w:styleId="Header">
    <w:name w:val="header"/>
    <w:basedOn w:val="Normal"/>
    <w:link w:val="HeaderChar"/>
    <w:uiPriority w:val="99"/>
    <w:unhideWhenUsed/>
    <w:rsid w:val="009C2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799"/>
  </w:style>
  <w:style w:type="paragraph" w:styleId="Footer">
    <w:name w:val="footer"/>
    <w:basedOn w:val="Normal"/>
    <w:link w:val="FooterChar"/>
    <w:uiPriority w:val="99"/>
    <w:unhideWhenUsed/>
    <w:rsid w:val="009C2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799"/>
  </w:style>
  <w:style w:type="paragraph" w:customStyle="1" w:styleId="nhsd-t-body">
    <w:name w:val="nhsd-t-body"/>
    <w:basedOn w:val="Normal"/>
    <w:rsid w:val="00B92C67"/>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B92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67"/>
    <w:rPr>
      <w:rFonts w:ascii="Segoe UI" w:hAnsi="Segoe UI" w:cs="Segoe UI"/>
      <w:sz w:val="18"/>
      <w:szCs w:val="18"/>
    </w:rPr>
  </w:style>
  <w:style w:type="character" w:styleId="CommentReference">
    <w:name w:val="annotation reference"/>
    <w:basedOn w:val="DefaultParagraphFont"/>
    <w:uiPriority w:val="99"/>
    <w:semiHidden/>
    <w:unhideWhenUsed/>
    <w:rsid w:val="00000963"/>
    <w:rPr>
      <w:sz w:val="16"/>
      <w:szCs w:val="16"/>
    </w:rPr>
  </w:style>
  <w:style w:type="paragraph" w:styleId="CommentText">
    <w:name w:val="annotation text"/>
    <w:basedOn w:val="Normal"/>
    <w:link w:val="CommentTextChar"/>
    <w:uiPriority w:val="99"/>
    <w:semiHidden/>
    <w:unhideWhenUsed/>
    <w:rsid w:val="00000963"/>
    <w:pPr>
      <w:spacing w:line="240" w:lineRule="auto"/>
    </w:pPr>
    <w:rPr>
      <w:sz w:val="20"/>
      <w:szCs w:val="20"/>
    </w:rPr>
  </w:style>
  <w:style w:type="character" w:customStyle="1" w:styleId="CommentTextChar">
    <w:name w:val="Comment Text Char"/>
    <w:basedOn w:val="DefaultParagraphFont"/>
    <w:link w:val="CommentText"/>
    <w:uiPriority w:val="99"/>
    <w:semiHidden/>
    <w:rsid w:val="00000963"/>
    <w:rPr>
      <w:sz w:val="20"/>
      <w:szCs w:val="20"/>
    </w:rPr>
  </w:style>
  <w:style w:type="paragraph" w:styleId="CommentSubject">
    <w:name w:val="annotation subject"/>
    <w:basedOn w:val="CommentText"/>
    <w:next w:val="CommentText"/>
    <w:link w:val="CommentSubjectChar"/>
    <w:uiPriority w:val="99"/>
    <w:semiHidden/>
    <w:unhideWhenUsed/>
    <w:rsid w:val="00000963"/>
    <w:rPr>
      <w:b/>
      <w:bCs/>
    </w:rPr>
  </w:style>
  <w:style w:type="character" w:customStyle="1" w:styleId="CommentSubjectChar">
    <w:name w:val="Comment Subject Char"/>
    <w:basedOn w:val="CommentTextChar"/>
    <w:link w:val="CommentSubject"/>
    <w:uiPriority w:val="99"/>
    <w:semiHidden/>
    <w:rsid w:val="00000963"/>
    <w:rPr>
      <w:b/>
      <w:bCs/>
      <w:sz w:val="20"/>
      <w:szCs w:val="20"/>
    </w:rPr>
  </w:style>
  <w:style w:type="character" w:styleId="UnresolvedMention">
    <w:name w:val="Unresolved Mention"/>
    <w:basedOn w:val="DefaultParagraphFont"/>
    <w:uiPriority w:val="99"/>
    <w:semiHidden/>
    <w:unhideWhenUsed/>
    <w:rsid w:val="00000963"/>
    <w:rPr>
      <w:color w:val="808080"/>
      <w:shd w:val="clear" w:color="auto" w:fill="E6E6E6"/>
    </w:rPr>
  </w:style>
  <w:style w:type="table" w:styleId="TableGrid">
    <w:name w:val="Table Grid"/>
    <w:basedOn w:val="TableNormal"/>
    <w:uiPriority w:val="39"/>
    <w:rsid w:val="00D6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2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6676">
      <w:bodyDiv w:val="1"/>
      <w:marLeft w:val="0"/>
      <w:marRight w:val="0"/>
      <w:marTop w:val="0"/>
      <w:marBottom w:val="0"/>
      <w:divBdr>
        <w:top w:val="none" w:sz="0" w:space="0" w:color="auto"/>
        <w:left w:val="none" w:sz="0" w:space="0" w:color="auto"/>
        <w:bottom w:val="none" w:sz="0" w:space="0" w:color="auto"/>
        <w:right w:val="none" w:sz="0" w:space="0" w:color="auto"/>
      </w:divBdr>
    </w:div>
    <w:div w:id="588856777">
      <w:bodyDiv w:val="1"/>
      <w:marLeft w:val="0"/>
      <w:marRight w:val="0"/>
      <w:marTop w:val="0"/>
      <w:marBottom w:val="0"/>
      <w:divBdr>
        <w:top w:val="none" w:sz="0" w:space="0" w:color="auto"/>
        <w:left w:val="none" w:sz="0" w:space="0" w:color="auto"/>
        <w:bottom w:val="none" w:sz="0" w:space="0" w:color="auto"/>
        <w:right w:val="none" w:sz="0" w:space="0" w:color="auto"/>
      </w:divBdr>
    </w:div>
    <w:div w:id="814104648">
      <w:bodyDiv w:val="1"/>
      <w:marLeft w:val="0"/>
      <w:marRight w:val="0"/>
      <w:marTop w:val="0"/>
      <w:marBottom w:val="0"/>
      <w:divBdr>
        <w:top w:val="none" w:sz="0" w:space="0" w:color="auto"/>
        <w:left w:val="none" w:sz="0" w:space="0" w:color="auto"/>
        <w:bottom w:val="none" w:sz="0" w:space="0" w:color="auto"/>
        <w:right w:val="none" w:sz="0" w:space="0" w:color="auto"/>
      </w:divBdr>
    </w:div>
    <w:div w:id="12924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35024/data-security-review.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ra.nhs.uk/approvals-amendments/what-approvals-do-i-need/confidentiality-advisory-group/" TargetMode="External"/><Relationship Id="rId12" Type="http://schemas.openxmlformats.org/officeDocument/2006/relationships/hyperlink" Target="mailto:Info_Governance@sandwell.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_Governance@sandwell.gov.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1275</Words>
  <Characters>7271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Sitabile Pswarayi</dc:creator>
  <cp:keywords/>
  <dc:description/>
  <cp:lastModifiedBy>Sara Whitehouse</cp:lastModifiedBy>
  <cp:revision>2</cp:revision>
  <dcterms:created xsi:type="dcterms:W3CDTF">2024-04-30T14:21:00Z</dcterms:created>
  <dcterms:modified xsi:type="dcterms:W3CDTF">2024-04-30T14:21:00Z</dcterms:modified>
</cp:coreProperties>
</file>