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4"/>
        <w:ind w:left="101" w:right="52"/>
      </w:pPr>
      <w:r>
        <w:rPr/>
        <w:t>There</w:t>
      </w:r>
      <w:r>
        <w:rPr>
          <w:spacing w:val="-4"/>
        </w:rPr>
        <w:t> </w:t>
      </w:r>
      <w:r>
        <w:rPr/>
        <w:t>are</w:t>
      </w:r>
      <w:r>
        <w:rPr>
          <w:spacing w:val="-4"/>
        </w:rPr>
        <w:t> </w:t>
      </w:r>
      <w:r>
        <w:rPr/>
        <w:t>legal</w:t>
      </w:r>
      <w:r>
        <w:rPr>
          <w:spacing w:val="-4"/>
        </w:rPr>
        <w:t> </w:t>
      </w:r>
      <w:r>
        <w:rPr/>
        <w:t>means</w:t>
      </w:r>
      <w:r>
        <w:rPr>
          <w:spacing w:val="-4"/>
        </w:rPr>
        <w:t> </w:t>
      </w:r>
      <w:r>
        <w:rPr/>
        <w:t>(restrictive</w:t>
      </w:r>
      <w:r>
        <w:rPr>
          <w:spacing w:val="-4"/>
        </w:rPr>
        <w:t> </w:t>
      </w:r>
      <w:r>
        <w:rPr/>
        <w:t>covenant)</w:t>
      </w:r>
      <w:r>
        <w:rPr>
          <w:spacing w:val="-4"/>
        </w:rPr>
        <w:t> </w:t>
      </w:r>
      <w:r>
        <w:rPr/>
        <w:t>by</w:t>
      </w:r>
      <w:r>
        <w:rPr>
          <w:spacing w:val="-4"/>
        </w:rPr>
        <w:t> </w:t>
      </w:r>
      <w:r>
        <w:rPr/>
        <w:t>which</w:t>
      </w:r>
      <w:r>
        <w:rPr>
          <w:spacing w:val="-4"/>
        </w:rPr>
        <w:t> </w:t>
      </w:r>
      <w:r>
        <w:rPr/>
        <w:t>you</w:t>
      </w:r>
      <w:r>
        <w:rPr>
          <w:spacing w:val="-4"/>
        </w:rPr>
        <w:t> </w:t>
      </w:r>
      <w:r>
        <w:rPr/>
        <w:t>can</w:t>
      </w:r>
      <w:r>
        <w:rPr>
          <w:spacing w:val="-4"/>
        </w:rPr>
        <w:t> </w:t>
      </w:r>
      <w:r>
        <w:rPr/>
        <w:t>ensure the grave remains untouched, but this will involve costs and other uncertainties.</w:t>
      </w:r>
      <w:r>
        <w:rPr>
          <w:spacing w:val="40"/>
        </w:rPr>
        <w:t> </w:t>
      </w:r>
      <w:r>
        <w:rPr/>
        <w:t>Secondly, details of the burial will not be officially recorded as they would be in a cemetery.</w:t>
      </w:r>
      <w:r>
        <w:rPr>
          <w:spacing w:val="40"/>
        </w:rPr>
        <w:t> </w:t>
      </w:r>
      <w:r>
        <w:rPr/>
        <w:t>Nonetheless, it appears that there is a statutory requirement for the landowner to maintain a register of burials.</w:t>
      </w:r>
      <w:r>
        <w:rPr>
          <w:spacing w:val="40"/>
        </w:rPr>
        <w:t> </w:t>
      </w:r>
      <w:r>
        <w:rPr/>
        <w:t>This can be in the form of a sheet of paper or notebook, preferably with a plan to show the location.</w:t>
      </w:r>
      <w:r>
        <w:rPr>
          <w:spacing w:val="40"/>
        </w:rPr>
        <w:t> </w:t>
      </w:r>
      <w:r>
        <w:rPr/>
        <w:t>These should be kept somewhere accessible in case the grave is disturbed by building or excavation works at some stage in the future.</w:t>
      </w:r>
    </w:p>
    <w:p>
      <w:pPr>
        <w:pStyle w:val="BodyText"/>
      </w:pPr>
    </w:p>
    <w:p>
      <w:pPr>
        <w:pStyle w:val="BodyText"/>
        <w:ind w:left="101" w:right="52"/>
      </w:pPr>
      <w:r>
        <w:rPr/>
        <w:t>A certificate for burial issued by a Coroner or Registrar of Births and Deaths will have to be obtained.</w:t>
      </w:r>
      <w:r>
        <w:rPr>
          <w:spacing w:val="40"/>
        </w:rPr>
        <w:t> </w:t>
      </w:r>
      <w:r>
        <w:rPr/>
        <w:t>The detachable section of this is to be completed and returned to the Registrar by the person arranging burial.</w:t>
      </w:r>
      <w:r>
        <w:rPr>
          <w:spacing w:val="40"/>
        </w:rPr>
        <w:t> </w:t>
      </w:r>
      <w:r>
        <w:rPr/>
        <w:t>It is important to note that, as explained above, the details of the burial, including the burial location, are not recorded by the Registrar.</w:t>
      </w:r>
      <w:r>
        <w:rPr>
          <w:spacing w:val="40"/>
        </w:rPr>
        <w:t> </w:t>
      </w:r>
      <w:r>
        <w:rPr/>
        <w:t>The</w:t>
      </w:r>
      <w:r>
        <w:rPr>
          <w:spacing w:val="-4"/>
        </w:rPr>
        <w:t> </w:t>
      </w:r>
      <w:r>
        <w:rPr/>
        <w:t>Registrar</w:t>
      </w:r>
      <w:r>
        <w:rPr>
          <w:spacing w:val="-4"/>
        </w:rPr>
        <w:t> </w:t>
      </w:r>
      <w:r>
        <w:rPr/>
        <w:t>is</w:t>
      </w:r>
      <w:r>
        <w:rPr>
          <w:spacing w:val="-4"/>
        </w:rPr>
        <w:t> </w:t>
      </w:r>
      <w:r>
        <w:rPr/>
        <w:t>appointed</w:t>
      </w:r>
      <w:r>
        <w:rPr>
          <w:spacing w:val="-4"/>
        </w:rPr>
        <w:t> </w:t>
      </w:r>
      <w:r>
        <w:rPr/>
        <w:t>to</w:t>
      </w:r>
      <w:r>
        <w:rPr>
          <w:spacing w:val="-4"/>
        </w:rPr>
        <w:t> </w:t>
      </w:r>
      <w:r>
        <w:rPr/>
        <w:t>record</w:t>
      </w:r>
      <w:r>
        <w:rPr>
          <w:spacing w:val="-4"/>
        </w:rPr>
        <w:t> </w:t>
      </w:r>
      <w:r>
        <w:rPr/>
        <w:t>population</w:t>
      </w:r>
      <w:r>
        <w:rPr>
          <w:spacing w:val="-4"/>
        </w:rPr>
        <w:t> </w:t>
      </w:r>
      <w:r>
        <w:rPr/>
        <w:t>data</w:t>
      </w:r>
      <w:r>
        <w:rPr>
          <w:spacing w:val="-4"/>
        </w:rPr>
        <w:t> </w:t>
      </w:r>
      <w:r>
        <w:rPr/>
        <w:t>and</w:t>
      </w:r>
      <w:r>
        <w:rPr>
          <w:spacing w:val="-4"/>
        </w:rPr>
        <w:t> </w:t>
      </w:r>
      <w:r>
        <w:rPr/>
        <w:t>is not able to record the place of burial. Depending upon the circumstances, you may find it difficult to obtain a funeral director to help you with this type of burial.</w:t>
      </w:r>
      <w:r>
        <w:rPr>
          <w:spacing w:val="40"/>
        </w:rPr>
        <w:t> </w:t>
      </w:r>
      <w:r>
        <w:rPr/>
        <w:t>You can of course do the funeral without a funeral director.</w:t>
      </w:r>
    </w:p>
    <w:p>
      <w:pPr>
        <w:pStyle w:val="BodyText"/>
        <w:spacing w:before="1"/>
      </w:pPr>
    </w:p>
    <w:p>
      <w:pPr>
        <w:pStyle w:val="Heading1"/>
        <w:spacing w:before="1"/>
        <w:ind w:left="101"/>
      </w:pPr>
      <w:r>
        <w:rPr>
          <w:color w:val="7BB342"/>
        </w:rPr>
        <w:t>Charter</w:t>
      </w:r>
      <w:r>
        <w:rPr>
          <w:color w:val="7BB342"/>
          <w:spacing w:val="-10"/>
        </w:rPr>
        <w:t> </w:t>
      </w:r>
      <w:r>
        <w:rPr>
          <w:color w:val="7BB342"/>
          <w:spacing w:val="-2"/>
        </w:rPr>
        <w:t>Rights</w:t>
      </w:r>
    </w:p>
    <w:p>
      <w:pPr>
        <w:pStyle w:val="BodyText"/>
        <w:spacing w:before="9"/>
        <w:rPr>
          <w:b/>
          <w:sz w:val="27"/>
        </w:rPr>
      </w:pPr>
    </w:p>
    <w:p>
      <w:pPr>
        <w:pStyle w:val="BodyText"/>
        <w:ind w:left="101" w:right="52"/>
      </w:pPr>
      <w:r>
        <w:rPr/>
        <w:t>It</w:t>
      </w:r>
      <w:r>
        <w:rPr>
          <w:spacing w:val="-4"/>
        </w:rPr>
        <w:t> </w:t>
      </w:r>
      <w:r>
        <w:rPr/>
        <w:t>is</w:t>
      </w:r>
      <w:r>
        <w:rPr>
          <w:spacing w:val="-4"/>
        </w:rPr>
        <w:t> </w:t>
      </w:r>
      <w:r>
        <w:rPr/>
        <w:t>your</w:t>
      </w:r>
      <w:r>
        <w:rPr>
          <w:spacing w:val="-4"/>
        </w:rPr>
        <w:t> </w:t>
      </w:r>
      <w:r>
        <w:rPr/>
        <w:t>right</w:t>
      </w:r>
      <w:r>
        <w:rPr>
          <w:spacing w:val="-4"/>
        </w:rPr>
        <w:t> </w:t>
      </w:r>
      <w:r>
        <w:rPr/>
        <w:t>to</w:t>
      </w:r>
      <w:r>
        <w:rPr>
          <w:spacing w:val="-4"/>
        </w:rPr>
        <w:t> </w:t>
      </w:r>
      <w:r>
        <w:rPr/>
        <w:t>receive</w:t>
      </w:r>
      <w:r>
        <w:rPr>
          <w:spacing w:val="-4"/>
        </w:rPr>
        <w:t> </w:t>
      </w:r>
      <w:r>
        <w:rPr/>
        <w:t>factual</w:t>
      </w:r>
      <w:r>
        <w:rPr>
          <w:spacing w:val="-7"/>
        </w:rPr>
        <w:t> </w:t>
      </w:r>
      <w:r>
        <w:rPr/>
        <w:t>information</w:t>
      </w:r>
      <w:r>
        <w:rPr>
          <w:spacing w:val="-4"/>
        </w:rPr>
        <w:t> </w:t>
      </w:r>
      <w:r>
        <w:rPr/>
        <w:t>on</w:t>
      </w:r>
      <w:r>
        <w:rPr>
          <w:spacing w:val="-4"/>
        </w:rPr>
        <w:t> </w:t>
      </w:r>
      <w:r>
        <w:rPr/>
        <w:t>burial</w:t>
      </w:r>
      <w:r>
        <w:rPr>
          <w:spacing w:val="-4"/>
        </w:rPr>
        <w:t> </w:t>
      </w:r>
      <w:r>
        <w:rPr/>
        <w:t>in</w:t>
      </w:r>
      <w:r>
        <w:rPr>
          <w:spacing w:val="-4"/>
        </w:rPr>
        <w:t> </w:t>
      </w:r>
      <w:r>
        <w:rPr/>
        <w:t>private</w:t>
      </w:r>
      <w:r>
        <w:rPr>
          <w:spacing w:val="-4"/>
        </w:rPr>
        <w:t> </w:t>
      </w:r>
      <w:r>
        <w:rPr/>
        <w:t>land from your Charter member.</w:t>
      </w:r>
    </w:p>
    <w:p>
      <w:pPr>
        <w:pStyle w:val="BodyText"/>
        <w:spacing w:before="1"/>
      </w:pPr>
    </w:p>
    <w:p>
      <w:pPr>
        <w:pStyle w:val="Heading1"/>
        <w:ind w:left="101"/>
      </w:pPr>
      <w:r>
        <w:rPr>
          <w:color w:val="7BB342"/>
        </w:rPr>
        <w:t>Charter</w:t>
      </w:r>
      <w:r>
        <w:rPr>
          <w:color w:val="7BB342"/>
          <w:spacing w:val="-10"/>
        </w:rPr>
        <w:t> </w:t>
      </w:r>
      <w:r>
        <w:rPr>
          <w:color w:val="7BB342"/>
          <w:spacing w:val="-2"/>
        </w:rPr>
        <w:t>Targets</w:t>
      </w:r>
    </w:p>
    <w:p>
      <w:pPr>
        <w:pStyle w:val="BodyText"/>
        <w:rPr>
          <w:b/>
          <w:sz w:val="28"/>
        </w:rPr>
      </w:pPr>
    </w:p>
    <w:p>
      <w:pPr>
        <w:pStyle w:val="BodyText"/>
        <w:ind w:left="101" w:right="52"/>
      </w:pPr>
      <w:r>
        <w:rPr/>
        <w:t>Charter</w:t>
      </w:r>
      <w:r>
        <w:rPr>
          <w:spacing w:val="-4"/>
        </w:rPr>
        <w:t> </w:t>
      </w:r>
      <w:r>
        <w:rPr/>
        <w:t>members</w:t>
      </w:r>
      <w:r>
        <w:rPr>
          <w:spacing w:val="-4"/>
        </w:rPr>
        <w:t> </w:t>
      </w:r>
      <w:r>
        <w:rPr/>
        <w:t>are</w:t>
      </w:r>
      <w:r>
        <w:rPr>
          <w:spacing w:val="-4"/>
        </w:rPr>
        <w:t> </w:t>
      </w:r>
      <w:r>
        <w:rPr/>
        <w:t>encouraged</w:t>
      </w:r>
      <w:r>
        <w:rPr>
          <w:spacing w:val="-4"/>
        </w:rPr>
        <w:t> </w:t>
      </w:r>
      <w:r>
        <w:rPr/>
        <w:t>to</w:t>
      </w:r>
      <w:r>
        <w:rPr>
          <w:spacing w:val="-4"/>
        </w:rPr>
        <w:t> </w:t>
      </w:r>
      <w:r>
        <w:rPr/>
        <w:t>provide</w:t>
      </w:r>
      <w:r>
        <w:rPr>
          <w:spacing w:val="-4"/>
        </w:rPr>
        <w:t> </w:t>
      </w:r>
      <w:r>
        <w:rPr/>
        <w:t>a</w:t>
      </w:r>
      <w:r>
        <w:rPr>
          <w:spacing w:val="-4"/>
        </w:rPr>
        <w:t> </w:t>
      </w:r>
      <w:r>
        <w:rPr/>
        <w:t>green</w:t>
      </w:r>
      <w:r>
        <w:rPr>
          <w:spacing w:val="-4"/>
        </w:rPr>
        <w:t> </w:t>
      </w:r>
      <w:r>
        <w:rPr/>
        <w:t>or</w:t>
      </w:r>
      <w:r>
        <w:rPr>
          <w:spacing w:val="-4"/>
        </w:rPr>
        <w:t> </w:t>
      </w:r>
      <w:r>
        <w:rPr/>
        <w:t>natural</w:t>
      </w:r>
      <w:r>
        <w:rPr>
          <w:spacing w:val="-4"/>
        </w:rPr>
        <w:t> </w:t>
      </w:r>
      <w:r>
        <w:rPr/>
        <w:t>burial option as an alternative to burial in private land.</w:t>
      </w:r>
    </w:p>
    <w:p>
      <w:pPr>
        <w:pStyle w:val="BodyText"/>
        <w:spacing w:before="1"/>
      </w:pPr>
    </w:p>
    <w:p>
      <w:pPr>
        <w:spacing w:before="0"/>
        <w:ind w:left="2007" w:right="1881" w:firstLine="0"/>
        <w:jc w:val="center"/>
        <w:rPr>
          <w:sz w:val="24"/>
        </w:rPr>
      </w:pPr>
      <w:r>
        <w:rPr>
          <w:b/>
          <w:color w:val="7BB342"/>
          <w:sz w:val="24"/>
        </w:rPr>
        <w:t>Sandwell</w:t>
      </w:r>
      <w:r>
        <w:rPr>
          <w:b/>
          <w:color w:val="7BB342"/>
          <w:spacing w:val="-17"/>
          <w:sz w:val="24"/>
        </w:rPr>
        <w:t> </w:t>
      </w:r>
      <w:r>
        <w:rPr>
          <w:b/>
          <w:color w:val="7BB342"/>
          <w:sz w:val="24"/>
        </w:rPr>
        <w:t>Bereavement</w:t>
      </w:r>
      <w:r>
        <w:rPr>
          <w:b/>
          <w:color w:val="7BB342"/>
          <w:spacing w:val="-17"/>
          <w:sz w:val="24"/>
        </w:rPr>
        <w:t> </w:t>
      </w:r>
      <w:r>
        <w:rPr>
          <w:b/>
          <w:color w:val="7BB342"/>
          <w:sz w:val="24"/>
        </w:rPr>
        <w:t>Services </w:t>
      </w:r>
      <w:r>
        <w:rPr>
          <w:sz w:val="24"/>
        </w:rPr>
        <w:t>Sandwell Valley Crematorium Newton Road</w:t>
      </w:r>
    </w:p>
    <w:p>
      <w:pPr>
        <w:pStyle w:val="BodyText"/>
        <w:ind w:left="3008" w:right="2881"/>
        <w:jc w:val="center"/>
      </w:pPr>
      <w:r>
        <w:rPr/>
        <w:t>West</w:t>
      </w:r>
      <w:r>
        <w:rPr>
          <w:spacing w:val="-17"/>
        </w:rPr>
        <w:t> </w:t>
      </w:r>
      <w:r>
        <w:rPr/>
        <w:t>Bromwich West Midlands B71 3SX</w:t>
      </w:r>
    </w:p>
    <w:p>
      <w:pPr>
        <w:pStyle w:val="BodyText"/>
        <w:spacing w:before="10"/>
        <w:rPr>
          <w:sz w:val="23"/>
        </w:rPr>
      </w:pPr>
    </w:p>
    <w:p>
      <w:pPr>
        <w:tabs>
          <w:tab w:pos="2991" w:val="left" w:leader="none"/>
        </w:tabs>
        <w:spacing w:before="1"/>
        <w:ind w:left="163" w:right="0" w:firstLine="0"/>
        <w:jc w:val="center"/>
        <w:rPr>
          <w:sz w:val="24"/>
        </w:rPr>
      </w:pPr>
      <w:r>
        <w:rPr>
          <w:b/>
          <w:color w:val="7BB342"/>
          <w:sz w:val="24"/>
        </w:rPr>
        <w:t>Tel:</w:t>
      </w:r>
      <w:r>
        <w:rPr>
          <w:b/>
          <w:color w:val="7BB342"/>
          <w:spacing w:val="-3"/>
          <w:sz w:val="24"/>
        </w:rPr>
        <w:t> </w:t>
      </w:r>
      <w:r>
        <w:rPr>
          <w:sz w:val="24"/>
        </w:rPr>
        <w:t>0121</w:t>
      </w:r>
      <w:r>
        <w:rPr>
          <w:spacing w:val="-2"/>
          <w:sz w:val="24"/>
        </w:rPr>
        <w:t> </w:t>
      </w:r>
      <w:r>
        <w:rPr>
          <w:sz w:val="24"/>
        </w:rPr>
        <w:t>569</w:t>
      </w:r>
      <w:r>
        <w:rPr>
          <w:spacing w:val="-1"/>
          <w:sz w:val="24"/>
        </w:rPr>
        <w:t> </w:t>
      </w:r>
      <w:r>
        <w:rPr>
          <w:spacing w:val="-4"/>
          <w:sz w:val="24"/>
        </w:rPr>
        <w:t>6700</w:t>
      </w:r>
      <w:r>
        <w:rPr>
          <w:sz w:val="24"/>
        </w:rPr>
        <w:tab/>
      </w:r>
      <w:r>
        <w:rPr>
          <w:b/>
          <w:color w:val="7BB342"/>
          <w:sz w:val="24"/>
        </w:rPr>
        <w:t>Fax:</w:t>
      </w:r>
      <w:r>
        <w:rPr>
          <w:b/>
          <w:color w:val="7BB342"/>
          <w:spacing w:val="-6"/>
          <w:sz w:val="24"/>
        </w:rPr>
        <w:t> </w:t>
      </w:r>
      <w:r>
        <w:rPr>
          <w:sz w:val="24"/>
        </w:rPr>
        <w:t>0121</w:t>
      </w:r>
      <w:r>
        <w:rPr>
          <w:spacing w:val="-3"/>
          <w:sz w:val="24"/>
        </w:rPr>
        <w:t> </w:t>
      </w:r>
      <w:r>
        <w:rPr>
          <w:sz w:val="24"/>
        </w:rPr>
        <w:t>567</w:t>
      </w:r>
      <w:r>
        <w:rPr>
          <w:spacing w:val="-2"/>
          <w:sz w:val="24"/>
        </w:rPr>
        <w:t> </w:t>
      </w:r>
      <w:r>
        <w:rPr>
          <w:spacing w:val="-4"/>
          <w:sz w:val="24"/>
        </w:rPr>
        <w:t>5165</w:t>
      </w:r>
    </w:p>
    <w:p>
      <w:pPr>
        <w:pStyle w:val="BodyText"/>
        <w:ind w:left="123"/>
        <w:jc w:val="center"/>
      </w:pPr>
      <w:r>
        <w:rPr>
          <w:b/>
          <w:color w:val="7BB342"/>
        </w:rPr>
        <w:t>Email: </w:t>
      </w:r>
      <w:hyperlink r:id="rId5">
        <w:r>
          <w:rPr>
            <w:spacing w:val="-2"/>
          </w:rPr>
          <w:t>bereavement_services@sandwell.gov.uk</w:t>
        </w:r>
      </w:hyperlink>
    </w:p>
    <w:p>
      <w:pPr>
        <w:spacing w:line="240" w:lineRule="auto" w:before="3" w:after="24"/>
        <w:rPr>
          <w:sz w:val="24"/>
        </w:rPr>
      </w:pPr>
      <w:r>
        <w:rPr/>
        <w:br w:type="column"/>
      </w:r>
      <w:r>
        <w:rPr>
          <w:sz w:val="24"/>
        </w:rPr>
      </w:r>
    </w:p>
    <w:p>
      <w:pPr>
        <w:pStyle w:val="BodyText"/>
        <w:ind w:left="101"/>
        <w:rPr>
          <w:sz w:val="20"/>
        </w:rPr>
      </w:pPr>
      <w:r>
        <w:rPr>
          <w:sz w:val="20"/>
        </w:rPr>
        <w:drawing>
          <wp:inline distT="0" distB="0" distL="0" distR="0">
            <wp:extent cx="1812438" cy="6572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812438" cy="657225"/>
                    </a:xfrm>
                    <a:prstGeom prst="rect">
                      <a:avLst/>
                    </a:prstGeom>
                  </pic:spPr>
                </pic:pic>
              </a:graphicData>
            </a:graphic>
          </wp:inline>
        </w:drawing>
      </w:r>
      <w:r>
        <w:rPr>
          <w:sz w:val="20"/>
        </w:rPr>
      </w:r>
    </w:p>
    <w:p>
      <w:pPr>
        <w:pStyle w:val="BodyText"/>
        <w:rPr>
          <w:sz w:val="106"/>
        </w:rPr>
      </w:pPr>
    </w:p>
    <w:p>
      <w:pPr>
        <w:pStyle w:val="BodyText"/>
        <w:spacing w:before="8"/>
        <w:rPr>
          <w:sz w:val="104"/>
        </w:rPr>
      </w:pPr>
    </w:p>
    <w:p>
      <w:pPr>
        <w:pStyle w:val="Title"/>
        <w:spacing w:line="261" w:lineRule="auto"/>
      </w:pPr>
      <w:r>
        <w:rPr>
          <w:color w:val="7BB342"/>
        </w:rPr>
        <w:t>Burials in Private</w:t>
      </w:r>
      <w:r>
        <w:rPr>
          <w:color w:val="7BB342"/>
          <w:spacing w:val="-38"/>
        </w:rPr>
        <w:t> </w:t>
      </w:r>
      <w:r>
        <w:rPr>
          <w:color w:val="7BB342"/>
        </w:rPr>
        <w:t>Land</w:t>
      </w:r>
    </w:p>
    <w:p>
      <w:pPr>
        <w:pStyle w:val="BodyText"/>
        <w:rPr>
          <w:sz w:val="106"/>
        </w:rPr>
      </w:pPr>
    </w:p>
    <w:p>
      <w:pPr>
        <w:pStyle w:val="BodyText"/>
        <w:rPr>
          <w:sz w:val="106"/>
        </w:rPr>
      </w:pPr>
    </w:p>
    <w:p>
      <w:pPr>
        <w:pStyle w:val="BodyText"/>
        <w:spacing w:before="5"/>
        <w:rPr>
          <w:sz w:val="131"/>
        </w:rPr>
      </w:pPr>
    </w:p>
    <w:p>
      <w:pPr>
        <w:pStyle w:val="Heading1"/>
        <w:spacing w:line="314" w:lineRule="auto"/>
        <w:ind w:left="271" w:right="2193"/>
      </w:pPr>
      <w:r>
        <w:rPr>
          <w:color w:val="919396"/>
        </w:rPr>
        <w:t>Sandwell</w:t>
      </w:r>
      <w:r>
        <w:rPr>
          <w:color w:val="919396"/>
          <w:spacing w:val="-20"/>
        </w:rPr>
        <w:t> </w:t>
      </w:r>
      <w:r>
        <w:rPr>
          <w:color w:val="919396"/>
        </w:rPr>
        <w:t>Bereavement</w:t>
      </w:r>
      <w:r>
        <w:rPr>
          <w:color w:val="919396"/>
          <w:spacing w:val="-19"/>
        </w:rPr>
        <w:t> </w:t>
      </w:r>
      <w:r>
        <w:rPr>
          <w:color w:val="919396"/>
        </w:rPr>
        <w:t>Services Leaflet 13</w:t>
      </w:r>
    </w:p>
    <w:p>
      <w:pPr>
        <w:spacing w:after="0" w:line="314" w:lineRule="auto"/>
        <w:sectPr>
          <w:type w:val="continuous"/>
          <w:pgSz w:w="16840" w:h="11910" w:orient="landscape"/>
          <w:pgMar w:top="260" w:bottom="0" w:left="380" w:right="480"/>
          <w:cols w:num="2" w:equalWidth="0">
            <w:col w:w="7559" w:space="833"/>
            <w:col w:w="7588"/>
          </w:cols>
        </w:sectPr>
      </w:pPr>
    </w:p>
    <w:p>
      <w:pPr>
        <w:spacing w:before="75"/>
        <w:ind w:left="158" w:right="0" w:firstLine="0"/>
        <w:jc w:val="left"/>
        <w:rPr>
          <w:b/>
          <w:sz w:val="28"/>
        </w:rPr>
      </w:pPr>
      <w:r>
        <w:rPr>
          <w:b/>
          <w:color w:val="7BB342"/>
          <w:spacing w:val="11"/>
          <w:sz w:val="28"/>
        </w:rPr>
        <w:t>Information</w:t>
      </w:r>
    </w:p>
    <w:p>
      <w:pPr>
        <w:pStyle w:val="BodyText"/>
        <w:spacing w:before="10"/>
        <w:rPr>
          <w:b/>
          <w:sz w:val="23"/>
        </w:rPr>
      </w:pPr>
    </w:p>
    <w:p>
      <w:pPr>
        <w:pStyle w:val="BodyText"/>
        <w:ind w:left="158"/>
      </w:pPr>
      <w:r>
        <w:rPr/>
        <w:t>Although burial principally occurs in purpose designed cemeteries or churchyards, there are some exceptions. Families with large estates have routinely built a mausoleum or similar building on their land, for the burial of family members. Some individuals have been buried in farmland and others in gardens, without this becoming generally</w:t>
      </w:r>
      <w:r>
        <w:rPr>
          <w:spacing w:val="80"/>
        </w:rPr>
        <w:t> </w:t>
      </w:r>
      <w:r>
        <w:rPr/>
        <w:t>known. More recently, this form of burial has obtained media</w:t>
      </w:r>
      <w:r>
        <w:rPr>
          <w:spacing w:val="80"/>
        </w:rPr>
        <w:t> </w:t>
      </w:r>
      <w:r>
        <w:rPr/>
        <w:t>coverage</w:t>
      </w:r>
      <w:r>
        <w:rPr>
          <w:spacing w:val="-5"/>
        </w:rPr>
        <w:t> </w:t>
      </w:r>
      <w:r>
        <w:rPr/>
        <w:t>and</w:t>
      </w:r>
      <w:r>
        <w:rPr>
          <w:spacing w:val="-5"/>
        </w:rPr>
        <w:t> </w:t>
      </w:r>
      <w:r>
        <w:rPr/>
        <w:t>numbers</w:t>
      </w:r>
      <w:r>
        <w:rPr>
          <w:spacing w:val="-5"/>
        </w:rPr>
        <w:t> </w:t>
      </w:r>
      <w:r>
        <w:rPr/>
        <w:t>have</w:t>
      </w:r>
      <w:r>
        <w:rPr>
          <w:spacing w:val="-4"/>
        </w:rPr>
        <w:t> </w:t>
      </w:r>
      <w:r>
        <w:rPr/>
        <w:t>significantly</w:t>
      </w:r>
      <w:r>
        <w:rPr>
          <w:spacing w:val="-5"/>
        </w:rPr>
        <w:t> </w:t>
      </w:r>
      <w:r>
        <w:rPr/>
        <w:t>increased.</w:t>
      </w:r>
      <w:r>
        <w:rPr>
          <w:spacing w:val="-5"/>
        </w:rPr>
        <w:t> </w:t>
      </w:r>
      <w:r>
        <w:rPr/>
        <w:t>Much</w:t>
      </w:r>
      <w:r>
        <w:rPr>
          <w:spacing w:val="-5"/>
        </w:rPr>
        <w:t> </w:t>
      </w:r>
      <w:r>
        <w:rPr/>
        <w:t>of</w:t>
      </w:r>
      <w:r>
        <w:rPr>
          <w:spacing w:val="-5"/>
        </w:rPr>
        <w:t> </w:t>
      </w:r>
      <w:r>
        <w:rPr/>
        <w:t>this</w:t>
      </w:r>
      <w:r>
        <w:rPr>
          <w:spacing w:val="-5"/>
        </w:rPr>
        <w:t> </w:t>
      </w:r>
      <w:r>
        <w:rPr/>
        <w:t>has been due to the Natural Death Centre, a charity formed to support a less</w:t>
      </w:r>
      <w:r>
        <w:rPr>
          <w:spacing w:val="40"/>
        </w:rPr>
        <w:t> </w:t>
      </w:r>
      <w:r>
        <w:rPr/>
        <w:t>formalised</w:t>
      </w:r>
      <w:r>
        <w:rPr>
          <w:spacing w:val="40"/>
        </w:rPr>
        <w:t> </w:t>
      </w:r>
      <w:r>
        <w:rPr/>
        <w:t>routine</w:t>
      </w:r>
      <w:r>
        <w:rPr>
          <w:spacing w:val="40"/>
        </w:rPr>
        <w:t> </w:t>
      </w:r>
      <w:r>
        <w:rPr/>
        <w:t>for</w:t>
      </w:r>
      <w:r>
        <w:rPr>
          <w:spacing w:val="40"/>
        </w:rPr>
        <w:t> </w:t>
      </w:r>
      <w:r>
        <w:rPr/>
        <w:t>funerals,</w:t>
      </w:r>
      <w:r>
        <w:rPr>
          <w:spacing w:val="40"/>
        </w:rPr>
        <w:t> </w:t>
      </w:r>
      <w:r>
        <w:rPr/>
        <w:t>as</w:t>
      </w:r>
      <w:r>
        <w:rPr>
          <w:spacing w:val="40"/>
        </w:rPr>
        <w:t> </w:t>
      </w:r>
      <w:r>
        <w:rPr/>
        <w:t>well</w:t>
      </w:r>
      <w:r>
        <w:rPr>
          <w:spacing w:val="40"/>
        </w:rPr>
        <w:t> </w:t>
      </w:r>
      <w:r>
        <w:rPr/>
        <w:t>as</w:t>
      </w:r>
      <w:r>
        <w:rPr>
          <w:spacing w:val="40"/>
        </w:rPr>
        <w:t> </w:t>
      </w:r>
      <w:r>
        <w:rPr/>
        <w:t>a</w:t>
      </w:r>
      <w:r>
        <w:rPr>
          <w:spacing w:val="40"/>
        </w:rPr>
        <w:t> </w:t>
      </w:r>
      <w:r>
        <w:rPr/>
        <w:t>better</w:t>
      </w:r>
      <w:r>
        <w:rPr>
          <w:spacing w:val="40"/>
        </w:rPr>
        <w:t> </w:t>
      </w:r>
      <w:r>
        <w:rPr/>
        <w:t>approach</w:t>
      </w:r>
    </w:p>
    <w:p>
      <w:pPr>
        <w:pStyle w:val="BodyText"/>
        <w:spacing w:before="1"/>
        <w:ind w:left="158"/>
      </w:pPr>
      <w:r>
        <w:rPr/>
        <w:t>to</w:t>
      </w:r>
      <w:r>
        <w:rPr>
          <w:spacing w:val="40"/>
        </w:rPr>
        <w:t> </w:t>
      </w:r>
      <w:r>
        <w:rPr/>
        <w:t>death</w:t>
      </w:r>
      <w:r>
        <w:rPr>
          <w:spacing w:val="40"/>
        </w:rPr>
        <w:t> </w:t>
      </w:r>
      <w:r>
        <w:rPr/>
        <w:t>generally.</w:t>
      </w:r>
      <w:r>
        <w:rPr>
          <w:spacing w:val="40"/>
        </w:rPr>
        <w:t> </w:t>
      </w:r>
      <w:r>
        <w:rPr/>
        <w:t>They</w:t>
      </w:r>
      <w:r>
        <w:rPr>
          <w:spacing w:val="40"/>
        </w:rPr>
        <w:t> </w:t>
      </w:r>
      <w:r>
        <w:rPr/>
        <w:t>have</w:t>
      </w:r>
      <w:r>
        <w:rPr>
          <w:spacing w:val="40"/>
        </w:rPr>
        <w:t> </w:t>
      </w:r>
      <w:r>
        <w:rPr/>
        <w:t>issued</w:t>
      </w:r>
      <w:r>
        <w:rPr>
          <w:spacing w:val="40"/>
        </w:rPr>
        <w:t> </w:t>
      </w:r>
      <w:r>
        <w:rPr/>
        <w:t>a</w:t>
      </w:r>
      <w:r>
        <w:rPr>
          <w:spacing w:val="40"/>
        </w:rPr>
        <w:t> </w:t>
      </w:r>
      <w:r>
        <w:rPr/>
        <w:t>handbook</w:t>
      </w:r>
      <w:r>
        <w:rPr>
          <w:spacing w:val="40"/>
        </w:rPr>
        <w:t> </w:t>
      </w:r>
      <w:r>
        <w:rPr/>
        <w:t>and</w:t>
      </w:r>
      <w:r>
        <w:rPr>
          <w:spacing w:val="40"/>
        </w:rPr>
        <w:t> </w:t>
      </w:r>
      <w:r>
        <w:rPr/>
        <w:t>a</w:t>
      </w:r>
      <w:r>
        <w:rPr>
          <w:spacing w:val="40"/>
        </w:rPr>
        <w:t> </w:t>
      </w:r>
      <w:r>
        <w:rPr/>
        <w:t>further publication</w:t>
      </w:r>
      <w:r>
        <w:rPr>
          <w:spacing w:val="-12"/>
        </w:rPr>
        <w:t> </w:t>
      </w:r>
      <w:r>
        <w:rPr/>
        <w:t>called</w:t>
      </w:r>
      <w:r>
        <w:rPr>
          <w:spacing w:val="-12"/>
        </w:rPr>
        <w:t> </w:t>
      </w:r>
      <w:r>
        <w:rPr/>
        <w:t>"Green</w:t>
      </w:r>
      <w:r>
        <w:rPr>
          <w:spacing w:val="-12"/>
        </w:rPr>
        <w:t> </w:t>
      </w:r>
      <w:r>
        <w:rPr/>
        <w:t>Burial",</w:t>
      </w:r>
      <w:r>
        <w:rPr>
          <w:spacing w:val="-12"/>
        </w:rPr>
        <w:t> </w:t>
      </w:r>
      <w:r>
        <w:rPr/>
        <w:t>which</w:t>
      </w:r>
      <w:r>
        <w:rPr>
          <w:spacing w:val="-12"/>
        </w:rPr>
        <w:t> </w:t>
      </w:r>
      <w:r>
        <w:rPr/>
        <w:t>explain</w:t>
      </w:r>
      <w:r>
        <w:rPr>
          <w:spacing w:val="-12"/>
        </w:rPr>
        <w:t> </w:t>
      </w:r>
      <w:r>
        <w:rPr/>
        <w:t>how</w:t>
      </w:r>
      <w:r>
        <w:rPr>
          <w:spacing w:val="-12"/>
        </w:rPr>
        <w:t> </w:t>
      </w:r>
      <w:r>
        <w:rPr/>
        <w:t>to</w:t>
      </w:r>
      <w:r>
        <w:rPr>
          <w:spacing w:val="40"/>
        </w:rPr>
        <w:t> </w:t>
      </w:r>
      <w:r>
        <w:rPr/>
        <w:t>arrange</w:t>
      </w:r>
      <w:r>
        <w:rPr>
          <w:spacing w:val="-12"/>
        </w:rPr>
        <w:t> </w:t>
      </w:r>
      <w:r>
        <w:rPr/>
        <w:t>these burials within legal and planning requirements.</w:t>
      </w:r>
    </w:p>
    <w:p>
      <w:pPr>
        <w:pStyle w:val="BodyText"/>
        <w:spacing w:before="11"/>
        <w:rPr>
          <w:sz w:val="23"/>
        </w:rPr>
      </w:pPr>
    </w:p>
    <w:p>
      <w:pPr>
        <w:pStyle w:val="BodyText"/>
        <w:ind w:left="158"/>
      </w:pPr>
      <w:r>
        <w:rPr/>
        <w:t>There are several advantages of this form of burial. It allows you to organise a very personal funeral, in which you maintain total control. You are able to reduce costs significantly by avoiding the use of a funeral director, by making your own coffin or dispensing with this altogether, and not having to purchase a grave in a cemetery. It is</w:t>
      </w:r>
      <w:r>
        <w:rPr>
          <w:spacing w:val="80"/>
        </w:rPr>
        <w:t> </w:t>
      </w:r>
      <w:r>
        <w:rPr/>
        <w:t>essential</w:t>
      </w:r>
      <w:r>
        <w:rPr>
          <w:spacing w:val="40"/>
        </w:rPr>
        <w:t> </w:t>
      </w:r>
      <w:r>
        <w:rPr/>
        <w:t>that</w:t>
      </w:r>
      <w:r>
        <w:rPr>
          <w:spacing w:val="40"/>
        </w:rPr>
        <w:t> </w:t>
      </w:r>
      <w:r>
        <w:rPr/>
        <w:t>you</w:t>
      </w:r>
      <w:r>
        <w:rPr>
          <w:spacing w:val="40"/>
        </w:rPr>
        <w:t> </w:t>
      </w:r>
      <w:r>
        <w:rPr/>
        <w:t>obtain</w:t>
      </w:r>
      <w:r>
        <w:rPr>
          <w:spacing w:val="40"/>
        </w:rPr>
        <w:t> </w:t>
      </w:r>
      <w:r>
        <w:rPr/>
        <w:t>permission</w:t>
      </w:r>
      <w:r>
        <w:rPr>
          <w:spacing w:val="40"/>
        </w:rPr>
        <w:t> </w:t>
      </w:r>
      <w:r>
        <w:rPr/>
        <w:t>to</w:t>
      </w:r>
      <w:r>
        <w:rPr>
          <w:spacing w:val="40"/>
        </w:rPr>
        <w:t> </w:t>
      </w:r>
      <w:r>
        <w:rPr/>
        <w:t>complete</w:t>
      </w:r>
      <w:r>
        <w:rPr>
          <w:spacing w:val="40"/>
        </w:rPr>
        <w:t> </w:t>
      </w:r>
      <w:r>
        <w:rPr/>
        <w:t>a</w:t>
      </w:r>
      <w:r>
        <w:rPr>
          <w:spacing w:val="40"/>
        </w:rPr>
        <w:t> </w:t>
      </w:r>
      <w:r>
        <w:rPr/>
        <w:t>burial,</w:t>
      </w:r>
      <w:r>
        <w:rPr>
          <w:spacing w:val="40"/>
        </w:rPr>
        <w:t> </w:t>
      </w:r>
      <w:r>
        <w:rPr/>
        <w:t>where you are not the landowner of the ground involved. You are also advised to notify any individual or mortgage company that has an interest in the property. Access to the grave may be denied or restricted by change of ownership.</w:t>
      </w:r>
    </w:p>
    <w:p>
      <w:pPr>
        <w:pStyle w:val="BodyText"/>
      </w:pPr>
    </w:p>
    <w:p>
      <w:pPr>
        <w:pStyle w:val="BodyText"/>
        <w:ind w:left="158" w:right="244"/>
        <w:jc w:val="both"/>
      </w:pPr>
      <w:r>
        <w:rPr/>
        <w:t>The</w:t>
      </w:r>
      <w:r>
        <w:rPr>
          <w:spacing w:val="-11"/>
        </w:rPr>
        <w:t> </w:t>
      </w:r>
      <w:r>
        <w:rPr/>
        <w:t>difficulties</w:t>
      </w:r>
      <w:r>
        <w:rPr>
          <w:spacing w:val="-11"/>
        </w:rPr>
        <w:t> </w:t>
      </w:r>
      <w:r>
        <w:rPr/>
        <w:t>are</w:t>
      </w:r>
      <w:r>
        <w:rPr>
          <w:spacing w:val="-11"/>
        </w:rPr>
        <w:t> </w:t>
      </w:r>
      <w:r>
        <w:rPr/>
        <w:t>also</w:t>
      </w:r>
      <w:r>
        <w:rPr>
          <w:spacing w:val="-10"/>
        </w:rPr>
        <w:t> </w:t>
      </w:r>
      <w:r>
        <w:rPr/>
        <w:t>significant,</w:t>
      </w:r>
      <w:r>
        <w:rPr>
          <w:spacing w:val="-10"/>
        </w:rPr>
        <w:t> </w:t>
      </w:r>
      <w:r>
        <w:rPr/>
        <w:t>although</w:t>
      </w:r>
      <w:r>
        <w:rPr>
          <w:spacing w:val="-11"/>
        </w:rPr>
        <w:t> </w:t>
      </w:r>
      <w:r>
        <w:rPr/>
        <w:t>these</w:t>
      </w:r>
      <w:r>
        <w:rPr>
          <w:spacing w:val="-11"/>
        </w:rPr>
        <w:t> </w:t>
      </w:r>
      <w:r>
        <w:rPr/>
        <w:t>vary</w:t>
      </w:r>
      <w:r>
        <w:rPr>
          <w:spacing w:val="-11"/>
        </w:rPr>
        <w:t> </w:t>
      </w:r>
      <w:r>
        <w:rPr/>
        <w:t>according</w:t>
      </w:r>
      <w:r>
        <w:rPr>
          <w:spacing w:val="-11"/>
        </w:rPr>
        <w:t> </w:t>
      </w:r>
      <w:r>
        <w:rPr/>
        <w:t>to the</w:t>
      </w:r>
      <w:r>
        <w:rPr>
          <w:spacing w:val="-11"/>
        </w:rPr>
        <w:t> </w:t>
      </w:r>
      <w:r>
        <w:rPr/>
        <w:t>location.</w:t>
      </w:r>
      <w:r>
        <w:rPr>
          <w:spacing w:val="-11"/>
        </w:rPr>
        <w:t> </w:t>
      </w:r>
      <w:r>
        <w:rPr/>
        <w:t>Most</w:t>
      </w:r>
      <w:r>
        <w:rPr>
          <w:spacing w:val="-11"/>
        </w:rPr>
        <w:t> </w:t>
      </w:r>
      <w:r>
        <w:rPr/>
        <w:t>locations</w:t>
      </w:r>
      <w:r>
        <w:rPr>
          <w:spacing w:val="-11"/>
        </w:rPr>
        <w:t> </w:t>
      </w:r>
      <w:r>
        <w:rPr/>
        <w:t>fall</w:t>
      </w:r>
      <w:r>
        <w:rPr>
          <w:spacing w:val="-11"/>
        </w:rPr>
        <w:t> </w:t>
      </w:r>
      <w:r>
        <w:rPr/>
        <w:t>into</w:t>
      </w:r>
      <w:r>
        <w:rPr>
          <w:spacing w:val="-11"/>
        </w:rPr>
        <w:t> </w:t>
      </w:r>
      <w:r>
        <w:rPr/>
        <w:t>two</w:t>
      </w:r>
      <w:r>
        <w:rPr>
          <w:spacing w:val="-11"/>
        </w:rPr>
        <w:t> </w:t>
      </w:r>
      <w:r>
        <w:rPr/>
        <w:t>categories,</w:t>
      </w:r>
      <w:r>
        <w:rPr>
          <w:spacing w:val="-11"/>
        </w:rPr>
        <w:t> </w:t>
      </w:r>
      <w:r>
        <w:rPr/>
        <w:t>on</w:t>
      </w:r>
      <w:r>
        <w:rPr>
          <w:spacing w:val="-11"/>
        </w:rPr>
        <w:t> </w:t>
      </w:r>
      <w:r>
        <w:rPr/>
        <w:t>farmland</w:t>
      </w:r>
      <w:r>
        <w:rPr>
          <w:spacing w:val="-11"/>
        </w:rPr>
        <w:t> </w:t>
      </w:r>
      <w:r>
        <w:rPr/>
        <w:t>and in a garden.</w:t>
      </w:r>
    </w:p>
    <w:p>
      <w:pPr>
        <w:pStyle w:val="BodyText"/>
        <w:spacing w:before="1"/>
        <w:rPr>
          <w:sz w:val="28"/>
        </w:rPr>
      </w:pPr>
    </w:p>
    <w:p>
      <w:pPr>
        <w:pStyle w:val="Heading1"/>
      </w:pPr>
      <w:r>
        <w:rPr>
          <w:color w:val="7BB342"/>
          <w:spacing w:val="-2"/>
        </w:rPr>
        <w:t>Farmland</w:t>
      </w:r>
    </w:p>
    <w:p>
      <w:pPr>
        <w:pStyle w:val="BodyText"/>
        <w:spacing w:before="10"/>
        <w:rPr>
          <w:b/>
          <w:sz w:val="23"/>
        </w:rPr>
      </w:pPr>
    </w:p>
    <w:p>
      <w:pPr>
        <w:pStyle w:val="BodyText"/>
        <w:ind w:left="158" w:right="101"/>
      </w:pPr>
      <w:r>
        <w:rPr/>
        <w:t>These locations are rarely overlooked and will not offend neighbours or the public at large. The grave site should be on land with a deep water table and be sufficient distance from watercourses so as not</w:t>
      </w:r>
      <w:r>
        <w:rPr>
          <w:spacing w:val="80"/>
        </w:rPr>
        <w:t> </w:t>
      </w:r>
      <w:r>
        <w:rPr/>
        <w:t>to</w:t>
      </w:r>
      <w:r>
        <w:rPr>
          <w:spacing w:val="28"/>
        </w:rPr>
        <w:t> </w:t>
      </w:r>
      <w:r>
        <w:rPr/>
        <w:t>pose</w:t>
      </w:r>
      <w:r>
        <w:rPr>
          <w:spacing w:val="28"/>
        </w:rPr>
        <w:t> </w:t>
      </w:r>
      <w:r>
        <w:rPr/>
        <w:t>a</w:t>
      </w:r>
      <w:r>
        <w:rPr>
          <w:spacing w:val="28"/>
        </w:rPr>
        <w:t> </w:t>
      </w:r>
      <w:r>
        <w:rPr/>
        <w:t>pollution</w:t>
      </w:r>
      <w:r>
        <w:rPr>
          <w:spacing w:val="28"/>
        </w:rPr>
        <w:t> </w:t>
      </w:r>
      <w:r>
        <w:rPr/>
        <w:t>threat.</w:t>
      </w:r>
      <w:r>
        <w:rPr>
          <w:spacing w:val="30"/>
        </w:rPr>
        <w:t> </w:t>
      </w:r>
      <w:r>
        <w:rPr/>
        <w:t>Electrical</w:t>
      </w:r>
      <w:r>
        <w:rPr>
          <w:spacing w:val="28"/>
        </w:rPr>
        <w:t> </w:t>
      </w:r>
      <w:r>
        <w:rPr/>
        <w:t>or</w:t>
      </w:r>
      <w:r>
        <w:rPr>
          <w:spacing w:val="28"/>
        </w:rPr>
        <w:t> </w:t>
      </w:r>
      <w:r>
        <w:rPr/>
        <w:t>other</w:t>
      </w:r>
      <w:r>
        <w:rPr>
          <w:spacing w:val="28"/>
        </w:rPr>
        <w:t> </w:t>
      </w:r>
      <w:r>
        <w:rPr/>
        <w:t>services</w:t>
      </w:r>
      <w:r>
        <w:rPr>
          <w:spacing w:val="29"/>
        </w:rPr>
        <w:t> </w:t>
      </w:r>
      <w:r>
        <w:rPr/>
        <w:t>must</w:t>
      </w:r>
      <w:r>
        <w:rPr/>
        <w:t> obviously be avoided. A limited number of burials over a period of time may not constitute a "change of use" and no planning approval is thereby necessary.</w:t>
      </w:r>
    </w:p>
    <w:p>
      <w:pPr>
        <w:spacing w:line="240" w:lineRule="auto" w:before="5"/>
        <w:rPr>
          <w:sz w:val="30"/>
        </w:rPr>
      </w:pPr>
      <w:r>
        <w:rPr/>
        <w:br w:type="column"/>
      </w:r>
      <w:r>
        <w:rPr>
          <w:sz w:val="30"/>
        </w:rPr>
      </w:r>
    </w:p>
    <w:p>
      <w:pPr>
        <w:pStyle w:val="BodyText"/>
        <w:ind w:left="158" w:right="205"/>
      </w:pPr>
      <w:r>
        <w:rPr/>
        <w:t>Information submitted by the Natural Death Centre states "Recent local authority Certificates of Lawfulness have decided that planning permission is not required for the non-commercial burial on private land of a limited number of family, friends or those living in the house.</w:t>
      </w:r>
      <w:r>
        <w:rPr>
          <w:spacing w:val="40"/>
        </w:rPr>
        <w:t> </w:t>
      </w:r>
      <w:r>
        <w:rPr/>
        <w:t>These decisions have not been tested in the courts. The Department of the Environment are more cautious, and</w:t>
      </w:r>
      <w:r>
        <w:rPr>
          <w:spacing w:val="80"/>
        </w:rPr>
        <w:t> </w:t>
      </w:r>
      <w:r>
        <w:rPr/>
        <w:t>accept</w:t>
      </w:r>
      <w:r>
        <w:rPr>
          <w:spacing w:val="-6"/>
        </w:rPr>
        <w:t> </w:t>
      </w:r>
      <w:r>
        <w:rPr/>
        <w:t>merely</w:t>
      </w:r>
      <w:r>
        <w:rPr>
          <w:spacing w:val="-5"/>
        </w:rPr>
        <w:t> </w:t>
      </w:r>
      <w:r>
        <w:rPr/>
        <w:t>that</w:t>
      </w:r>
      <w:r>
        <w:rPr>
          <w:spacing w:val="-9"/>
        </w:rPr>
        <w:t> </w:t>
      </w:r>
      <w:r>
        <w:rPr/>
        <w:t>planning</w:t>
      </w:r>
      <w:r>
        <w:rPr>
          <w:spacing w:val="-9"/>
        </w:rPr>
        <w:t> </w:t>
      </w:r>
      <w:r>
        <w:rPr/>
        <w:t>permission</w:t>
      </w:r>
      <w:r>
        <w:rPr>
          <w:spacing w:val="-9"/>
        </w:rPr>
        <w:t> </w:t>
      </w:r>
      <w:r>
        <w:rPr/>
        <w:t>is</w:t>
      </w:r>
      <w:r>
        <w:rPr>
          <w:spacing w:val="-9"/>
        </w:rPr>
        <w:t> </w:t>
      </w:r>
      <w:r>
        <w:rPr/>
        <w:t>not</w:t>
      </w:r>
      <w:r>
        <w:rPr>
          <w:spacing w:val="-9"/>
        </w:rPr>
        <w:t> </w:t>
      </w:r>
      <w:r>
        <w:rPr/>
        <w:t>required</w:t>
      </w:r>
      <w:r>
        <w:rPr>
          <w:spacing w:val="-9"/>
        </w:rPr>
        <w:t> </w:t>
      </w:r>
      <w:r>
        <w:rPr/>
        <w:t>for</w:t>
      </w:r>
      <w:r>
        <w:rPr>
          <w:spacing w:val="-9"/>
        </w:rPr>
        <w:t> </w:t>
      </w:r>
      <w:r>
        <w:rPr/>
        <w:t>the</w:t>
      </w:r>
      <w:r>
        <w:rPr>
          <w:spacing w:val="-9"/>
        </w:rPr>
        <w:t> </w:t>
      </w:r>
      <w:r>
        <w:rPr/>
        <w:t>burial of one or two persons in back gardens".</w:t>
      </w:r>
    </w:p>
    <w:p>
      <w:pPr>
        <w:pStyle w:val="BodyText"/>
      </w:pPr>
    </w:p>
    <w:p>
      <w:pPr>
        <w:pStyle w:val="BodyText"/>
        <w:ind w:left="158" w:right="351"/>
      </w:pPr>
      <w:r>
        <w:rPr/>
        <w:t>Exceeding a "limited" number of burials may require planning approval for use as a cemetery or for "mixed use" if farming is also to continue.</w:t>
      </w:r>
    </w:p>
    <w:p>
      <w:pPr>
        <w:pStyle w:val="BodyText"/>
      </w:pPr>
    </w:p>
    <w:p>
      <w:pPr>
        <w:pStyle w:val="BodyText"/>
        <w:spacing w:before="1"/>
        <w:ind w:left="158" w:right="171"/>
      </w:pPr>
      <w:r>
        <w:rPr/>
        <w:t>Safe</w:t>
      </w:r>
      <w:r>
        <w:rPr>
          <w:spacing w:val="40"/>
        </w:rPr>
        <w:t> </w:t>
      </w:r>
      <w:r>
        <w:rPr/>
        <w:t>grave</w:t>
      </w:r>
      <w:r>
        <w:rPr>
          <w:spacing w:val="40"/>
        </w:rPr>
        <w:t> </w:t>
      </w:r>
      <w:r>
        <w:rPr/>
        <w:t>excavation</w:t>
      </w:r>
      <w:r>
        <w:rPr>
          <w:spacing w:val="40"/>
        </w:rPr>
        <w:t> </w:t>
      </w:r>
      <w:r>
        <w:rPr/>
        <w:t>would</w:t>
      </w:r>
      <w:r>
        <w:rPr>
          <w:spacing w:val="40"/>
        </w:rPr>
        <w:t> </w:t>
      </w:r>
      <w:r>
        <w:rPr/>
        <w:t>be</w:t>
      </w:r>
      <w:r>
        <w:rPr>
          <w:spacing w:val="40"/>
        </w:rPr>
        <w:t> </w:t>
      </w:r>
      <w:r>
        <w:rPr/>
        <w:t>a</w:t>
      </w:r>
      <w:r>
        <w:rPr>
          <w:spacing w:val="40"/>
        </w:rPr>
        <w:t> </w:t>
      </w:r>
      <w:r>
        <w:rPr/>
        <w:t>further</w:t>
      </w:r>
      <w:r>
        <w:rPr>
          <w:spacing w:val="40"/>
        </w:rPr>
        <w:t> </w:t>
      </w:r>
      <w:r>
        <w:rPr/>
        <w:t>consideration,</w:t>
      </w:r>
      <w:r>
        <w:rPr>
          <w:spacing w:val="40"/>
        </w:rPr>
        <w:t> </w:t>
      </w:r>
      <w:r>
        <w:rPr/>
        <w:t>as</w:t>
      </w:r>
      <w:r>
        <w:rPr>
          <w:spacing w:val="40"/>
        </w:rPr>
        <w:t> </w:t>
      </w:r>
      <w:r>
        <w:rPr/>
        <w:t>well as leaving sufficient depth of soil (three foot) over the body. If it is</w:t>
      </w:r>
      <w:r>
        <w:rPr>
          <w:spacing w:val="40"/>
        </w:rPr>
        <w:t> </w:t>
      </w:r>
      <w:r>
        <w:rPr/>
        <w:t>intended to fence or mark the grave(s) with a memorial, planning</w:t>
      </w:r>
      <w:r>
        <w:rPr>
          <w:spacing w:val="80"/>
        </w:rPr>
        <w:t> </w:t>
      </w:r>
      <w:r>
        <w:rPr/>
        <w:t>permission may be required. In effect, a single burial in a farm</w:t>
      </w:r>
      <w:r>
        <w:rPr>
          <w:spacing w:val="80"/>
        </w:rPr>
        <w:t> </w:t>
      </w:r>
      <w:r>
        <w:rPr/>
        <w:t>situation can proceed without an approach to, or the approval of, any council or other official organisation.</w:t>
      </w:r>
    </w:p>
    <w:p>
      <w:pPr>
        <w:pStyle w:val="BodyText"/>
      </w:pPr>
    </w:p>
    <w:p>
      <w:pPr>
        <w:pStyle w:val="Heading1"/>
        <w:spacing w:before="1"/>
      </w:pPr>
      <w:r>
        <w:rPr>
          <w:color w:val="7BB342"/>
          <w:spacing w:val="13"/>
        </w:rPr>
        <w:t>Garden</w:t>
      </w:r>
    </w:p>
    <w:p>
      <w:pPr>
        <w:pStyle w:val="BodyText"/>
        <w:spacing w:before="10"/>
        <w:rPr>
          <w:b/>
          <w:sz w:val="23"/>
        </w:rPr>
      </w:pPr>
    </w:p>
    <w:p>
      <w:pPr>
        <w:pStyle w:val="BodyText"/>
        <w:ind w:left="158" w:right="171"/>
      </w:pPr>
      <w:r>
        <w:rPr/>
        <w:t>The situation in a garden is complicated by the proximity of neighbours.</w:t>
      </w:r>
      <w:r>
        <w:rPr>
          <w:spacing w:val="40"/>
        </w:rPr>
        <w:t> </w:t>
      </w:r>
      <w:r>
        <w:rPr/>
        <w:t>They may oppose a burial nearby and may be offended by the sight of a coffin or body. Although these may not pose legal objections, it may not be conducive to good relationships.</w:t>
      </w:r>
      <w:r>
        <w:rPr>
          <w:spacing w:val="40"/>
        </w:rPr>
        <w:t> </w:t>
      </w:r>
      <w:r>
        <w:rPr/>
        <w:t>Otherwise, the aspect outlined under farm burials above are broadly similar.</w:t>
      </w:r>
      <w:r>
        <w:rPr>
          <w:spacing w:val="80"/>
        </w:rPr>
        <w:t> </w:t>
      </w:r>
      <w:r>
        <w:rPr/>
        <w:t>The particular difficulty in these locations is the reduction of the property value</w:t>
      </w:r>
      <w:r>
        <w:rPr>
          <w:spacing w:val="-2"/>
        </w:rPr>
        <w:t> </w:t>
      </w:r>
      <w:r>
        <w:rPr/>
        <w:t>due</w:t>
      </w:r>
      <w:r>
        <w:rPr>
          <w:spacing w:val="-2"/>
        </w:rPr>
        <w:t> </w:t>
      </w:r>
      <w:r>
        <w:rPr/>
        <w:t>to</w:t>
      </w:r>
      <w:r>
        <w:rPr>
          <w:spacing w:val="-2"/>
        </w:rPr>
        <w:t> </w:t>
      </w:r>
      <w:r>
        <w:rPr/>
        <w:t>the</w:t>
      </w:r>
      <w:r>
        <w:rPr>
          <w:spacing w:val="-2"/>
        </w:rPr>
        <w:t> </w:t>
      </w:r>
      <w:r>
        <w:rPr/>
        <w:t>presence of a grave. Although figures of 20% are mentioned, this has yet to be proven.</w:t>
      </w:r>
      <w:r>
        <w:rPr>
          <w:spacing w:val="40"/>
        </w:rPr>
        <w:t> </w:t>
      </w:r>
      <w:r>
        <w:rPr/>
        <w:t>Undoubtedly, a significant fall will occur although the fact that many buyers would not even consider the purchase at all seems</w:t>
      </w:r>
      <w:r>
        <w:rPr>
          <w:spacing w:val="-2"/>
        </w:rPr>
        <w:t> </w:t>
      </w:r>
      <w:r>
        <w:rPr/>
        <w:t>more</w:t>
      </w:r>
      <w:r>
        <w:rPr>
          <w:spacing w:val="-3"/>
        </w:rPr>
        <w:t> </w:t>
      </w:r>
      <w:r>
        <w:rPr/>
        <w:t>relevant.</w:t>
      </w:r>
      <w:r>
        <w:rPr>
          <w:spacing w:val="40"/>
        </w:rPr>
        <w:t> </w:t>
      </w:r>
      <w:r>
        <w:rPr/>
        <w:t>Two major concerns influence this choice of burial.</w:t>
      </w:r>
      <w:r>
        <w:rPr>
          <w:spacing w:val="40"/>
        </w:rPr>
        <w:t> </w:t>
      </w:r>
      <w:r>
        <w:rPr/>
        <w:t>Firstly, the body could be exhumed by any new property purchaser,</w:t>
      </w:r>
      <w:r>
        <w:rPr>
          <w:spacing w:val="27"/>
        </w:rPr>
        <w:t> </w:t>
      </w:r>
      <w:r>
        <w:rPr/>
        <w:t>and</w:t>
      </w:r>
      <w:r>
        <w:rPr>
          <w:spacing w:val="29"/>
        </w:rPr>
        <w:t> </w:t>
      </w:r>
      <w:r>
        <w:rPr/>
        <w:t>re-buried</w:t>
      </w:r>
      <w:r>
        <w:rPr>
          <w:spacing w:val="29"/>
        </w:rPr>
        <w:t> </w:t>
      </w:r>
      <w:r>
        <w:rPr/>
        <w:t>in</w:t>
      </w:r>
      <w:r>
        <w:rPr>
          <w:spacing w:val="29"/>
        </w:rPr>
        <w:t> </w:t>
      </w:r>
      <w:r>
        <w:rPr/>
        <w:t>a</w:t>
      </w:r>
      <w:r>
        <w:rPr>
          <w:spacing w:val="38"/>
        </w:rPr>
        <w:t> </w:t>
      </w:r>
      <w:r>
        <w:rPr/>
        <w:t>cemetery.</w:t>
      </w:r>
      <w:r>
        <w:rPr>
          <w:spacing w:val="80"/>
          <w:w w:val="150"/>
        </w:rPr>
        <w:t> </w:t>
      </w:r>
      <w:r>
        <w:rPr/>
        <w:t>This</w:t>
      </w:r>
      <w:r>
        <w:rPr>
          <w:spacing w:val="38"/>
        </w:rPr>
        <w:t> </w:t>
      </w:r>
      <w:r>
        <w:rPr/>
        <w:t>reason</w:t>
      </w:r>
      <w:r>
        <w:rPr>
          <w:spacing w:val="40"/>
        </w:rPr>
        <w:t> </w:t>
      </w:r>
      <w:r>
        <w:rPr/>
        <w:t>for</w:t>
      </w:r>
      <w:r>
        <w:rPr/>
        <w:t> obtaining an exhumation licence has yet to be tested, but would</w:t>
      </w:r>
      <w:r>
        <w:rPr>
          <w:spacing w:val="80"/>
        </w:rPr>
        <w:t> </w:t>
      </w:r>
      <w:r>
        <w:rPr/>
        <w:t>seem feasible.</w:t>
      </w:r>
    </w:p>
    <w:sectPr>
      <w:pgSz w:w="16840" w:h="11910" w:orient="landscape"/>
      <w:pgMar w:top="260" w:bottom="280" w:left="380" w:right="480"/>
      <w:cols w:num="2" w:equalWidth="0">
        <w:col w:w="7537" w:space="967"/>
        <w:col w:w="747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58"/>
      <w:outlineLvl w:val="1"/>
    </w:pPr>
    <w:rPr>
      <w:rFonts w:ascii="Arial" w:hAnsi="Arial" w:eastAsia="Arial" w:cs="Arial"/>
      <w:b/>
      <w:bCs/>
      <w:sz w:val="28"/>
      <w:szCs w:val="28"/>
      <w:lang w:val="en-US" w:eastAsia="en-US" w:bidi="ar-SA"/>
    </w:rPr>
  </w:style>
  <w:style w:styleId="Title" w:type="paragraph">
    <w:name w:val="Title"/>
    <w:basedOn w:val="Normal"/>
    <w:uiPriority w:val="1"/>
    <w:qFormat/>
    <w:pPr>
      <w:ind w:left="271" w:right="400"/>
    </w:pPr>
    <w:rPr>
      <w:rFonts w:ascii="Arial" w:hAnsi="Arial" w:eastAsia="Arial" w:cs="Arial"/>
      <w:sz w:val="96"/>
      <w:szCs w:val="9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ereavement_services@sandwell.gov.uk" TargetMode="Externa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dcterms:created xsi:type="dcterms:W3CDTF">2023-04-13T11:54:03Z</dcterms:created>
  <dcterms:modified xsi:type="dcterms:W3CDTF">2023-04-13T11:54:03Z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2011-07-07T00:00:00Z</vt:filetime>
  </property>
  <property fmtid="{D5CDD505-2E9C-101B-9397-08002B2CF9AE}" pid="3" name="Creator">
    <vt:lpwstr>Acrobat PDFMaker 9.0 for Publisher</vt:lpwstr>
  </property>
  <property fmtid="{D5CDD505-2E9C-101B-9397-08002B2CF9AE}" pid="4" name="LastSaved">
    <vt:filetime>2023-04-13T00:00:00Z</vt:filetime>
  </property>
  <property fmtid="{D5CDD505-2E9C-101B-9397-08002B2CF9AE}" pid="5" name="Producer">
    <vt:lpwstr>Acrobat Distiller 9.0.0 (Windows)</vt:lpwstr>
  </property>
</Properties>
</file>